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0C3711" w:rsidRPr="000C3711" w:rsidP="000C3711" w14:paraId="0BEB1C9B" w14:textId="0C161A33">
      <w:pPr>
        <w:tabs>
          <w:tab w:val="left" w:pos="426"/>
        </w:tabs>
        <w:spacing w:after="120"/>
        <w:jc w:val="both"/>
        <w:rPr>
          <w:rFonts w:cs="Calibri"/>
          <w:b/>
          <w:sz w:val="24"/>
        </w:rPr>
      </w:pPr>
      <w:r w:rsidRPr="000C3711">
        <w:rPr>
          <w:rFonts w:cs="Calibri"/>
          <w:b/>
          <w:sz w:val="24"/>
        </w:rPr>
        <w:t xml:space="preserve">Item 6: The board of directors’ proposed resolution regarding </w:t>
      </w:r>
      <w:r w:rsidRPr="00D53D54" w:rsidR="00D53D54">
        <w:rPr>
          <w:rFonts w:cs="Calibri"/>
          <w:b/>
          <w:bCs/>
          <w:sz w:val="24"/>
          <w:lang w:val="en-GB"/>
        </w:rPr>
        <w:t>authorization</w:t>
      </w:r>
      <w:r w:rsidRPr="000C3711">
        <w:rPr>
          <w:rFonts w:cs="Calibri"/>
          <w:b/>
          <w:sz w:val="24"/>
        </w:rPr>
        <w:t xml:space="preserve"> for the board of directors to resolve on issue of shares, convertibles and/or warrants</w:t>
      </w:r>
    </w:p>
    <w:p w:rsidR="000C3711" w:rsidP="000C3711" w14:paraId="55B51B5B" w14:textId="3F235DAB">
      <w:pPr>
        <w:tabs>
          <w:tab w:val="left" w:pos="426"/>
        </w:tabs>
        <w:spacing w:after="120"/>
        <w:jc w:val="both"/>
        <w:rPr>
          <w:rFonts w:cstheme="minorHAnsi"/>
          <w:bCs/>
          <w:iCs/>
          <w:sz w:val="21"/>
          <w:szCs w:val="21"/>
          <w:lang w:val="en-GB"/>
        </w:rPr>
      </w:pPr>
      <w:r w:rsidRPr="00581058">
        <w:rPr>
          <w:rFonts w:cstheme="minorHAnsi"/>
          <w:bCs/>
          <w:iCs/>
          <w:sz w:val="21"/>
          <w:szCs w:val="21"/>
          <w:lang w:val="en-GB"/>
        </w:rPr>
        <w:t>The board of directors proposes that the extraordinary general meeting resolves to authorize the board of directors to, up until the next annual general meeting, on one or more occasions, resolve on new issue of shares, warrants, and/or issue of convertibles, with or without deviation from the shareholders’ preferential rights, to a number corresponding to a maximum of twenty (20) percent of the total number of shares in the Company at the time when the authorization is first exercised, to be paid in cash, through non-cash consideration and/or through set-off.</w:t>
      </w:r>
    </w:p>
    <w:p w:rsidR="000C3711" w:rsidP="000C3711" w14:paraId="1FE762FA" w14:textId="0306CC6C">
      <w:pPr>
        <w:tabs>
          <w:tab w:val="left" w:pos="426"/>
        </w:tabs>
        <w:spacing w:after="120"/>
        <w:jc w:val="both"/>
        <w:rPr>
          <w:rFonts w:cstheme="minorHAnsi"/>
          <w:bCs/>
          <w:iCs/>
          <w:sz w:val="21"/>
          <w:szCs w:val="21"/>
          <w:lang w:val="en-GB"/>
        </w:rPr>
      </w:pPr>
      <w:r w:rsidRPr="00581058">
        <w:rPr>
          <w:rFonts w:cstheme="minorHAnsi"/>
          <w:bCs/>
          <w:iCs/>
          <w:sz w:val="21"/>
          <w:szCs w:val="21"/>
          <w:lang w:val="en-GB"/>
        </w:rPr>
        <w:t>The purpose of the board of directors being able to decide on issues without preferential rights for shareholders as described above is primarily to enable the raising of new capital to increase the Company's flexibility or in connection with acquisitions.</w:t>
      </w:r>
    </w:p>
    <w:p w:rsidR="000C3711" w:rsidRPr="00581058" w:rsidP="000C3711" w14:paraId="0ACCE066" w14:textId="3807BB05">
      <w:pPr>
        <w:tabs>
          <w:tab w:val="left" w:pos="426"/>
        </w:tabs>
        <w:spacing w:after="120"/>
        <w:jc w:val="both"/>
        <w:rPr>
          <w:rFonts w:cstheme="minorHAnsi"/>
          <w:bCs/>
          <w:sz w:val="21"/>
          <w:szCs w:val="21"/>
          <w:lang w:val="en-GB"/>
        </w:rPr>
      </w:pPr>
      <w:r w:rsidRPr="00581058">
        <w:rPr>
          <w:rFonts w:cstheme="minorHAnsi"/>
          <w:bCs/>
          <w:sz w:val="21"/>
          <w:szCs w:val="21"/>
          <w:lang w:val="en-GB"/>
        </w:rPr>
        <w:t>The issue of new shares, warrants or convertibles pursuant to the authorization shall be carried out on customary terms under prevailing market conditions. If the board of directors deems it appropriate to enable the delivery of shares in connection with an issue as described above, this may be done at a subscription price corresponding to the quotient value of the shares.</w:t>
      </w:r>
    </w:p>
    <w:p w:rsidR="000C3711" w:rsidRPr="00581058" w:rsidP="000C3711" w14:paraId="70C958C8" w14:textId="77777777">
      <w:pPr>
        <w:tabs>
          <w:tab w:val="left" w:pos="426"/>
        </w:tabs>
        <w:spacing w:after="120"/>
        <w:jc w:val="both"/>
        <w:rPr>
          <w:rFonts w:cstheme="minorHAnsi"/>
          <w:bCs/>
          <w:sz w:val="21"/>
          <w:szCs w:val="21"/>
          <w:lang w:val="en-GB"/>
        </w:rPr>
      </w:pPr>
      <w:r w:rsidRPr="00581058">
        <w:rPr>
          <w:rFonts w:cstheme="minorHAnsi"/>
          <w:bCs/>
          <w:sz w:val="21"/>
          <w:szCs w:val="21"/>
          <w:lang w:val="en-GB"/>
        </w:rPr>
        <w:t>The board of directors, or the person appointed by the board of directors, shall be granted the right to make any adjustments that may be necessary in connection with the registration of the resolution with the Swedish Companies Registration Office.</w:t>
      </w:r>
    </w:p>
    <w:p w:rsidR="000C3711" w:rsidRPr="003A5AB5" w:rsidP="000C3711" w14:paraId="09630B6E" w14:textId="77777777">
      <w:pPr>
        <w:spacing w:after="120"/>
        <w:rPr>
          <w:rFonts w:cstheme="minorHAnsi"/>
          <w:sz w:val="21"/>
          <w:szCs w:val="21"/>
          <w:lang w:val="en-GB"/>
        </w:rPr>
      </w:pPr>
      <w:r w:rsidRPr="003A5AB5">
        <w:rPr>
          <w:rFonts w:cstheme="minorHAnsi"/>
          <w:b/>
          <w:sz w:val="21"/>
          <w:szCs w:val="21"/>
          <w:lang w:val="en-GB"/>
        </w:rPr>
        <w:t>Majority requirements</w:t>
      </w:r>
    </w:p>
    <w:p w:rsidR="00C14C99" w:rsidP="00C14C99" w14:paraId="01B96421" w14:textId="357B2F64">
      <w:pPr>
        <w:pStyle w:val="NormalIndent"/>
        <w:ind w:left="0"/>
        <w:jc w:val="both"/>
        <w:rPr>
          <w:rFonts w:ascii="Calibri" w:eastAsia="Times New Roman" w:hAnsi="Calibri" w:cstheme="minorHAnsi"/>
          <w:bCs/>
          <w:lang w:val="en-GB"/>
        </w:rPr>
      </w:pPr>
      <w:r w:rsidRPr="00C14C99">
        <w:rPr>
          <w:rFonts w:ascii="Calibri" w:eastAsia="Times New Roman" w:hAnsi="Calibri" w:cstheme="minorHAnsi"/>
          <w:bCs/>
          <w:lang w:val="en-GB"/>
        </w:rPr>
        <w:t>For a decision to be valid under item 6, it must be supported by shareholders representing at least two-thirds of both the votes cast and the shares represented at the general meeting.</w:t>
      </w:r>
    </w:p>
    <w:p w:rsidR="000C3711" w:rsidRPr="00D435C2" w:rsidP="000C3711" w14:paraId="7679FE1A" w14:textId="176B12B5">
      <w:pPr>
        <w:pStyle w:val="NormalIndent"/>
        <w:ind w:left="0"/>
        <w:jc w:val="center"/>
        <w:rPr>
          <w:rFonts w:ascii="Calibri" w:hAnsi="Calibri" w:cs="Calibri"/>
          <w:lang w:val="en-GB"/>
        </w:rPr>
      </w:pPr>
      <w:r w:rsidRPr="00D435C2">
        <w:rPr>
          <w:rFonts w:ascii="Calibri" w:hAnsi="Calibri" w:cs="Calibri"/>
          <w:lang w:val="en-GB"/>
        </w:rPr>
        <w:t>____________________</w:t>
      </w:r>
    </w:p>
    <w:p w:rsidR="000C3711" w:rsidRPr="00D435C2" w:rsidP="000C3711" w14:paraId="411615B2" w14:textId="2647437E">
      <w:pPr>
        <w:pStyle w:val="NormalIndent"/>
        <w:ind w:left="0"/>
        <w:jc w:val="center"/>
        <w:rPr>
          <w:rFonts w:ascii="Calibri" w:hAnsi="Calibri" w:cs="Calibri"/>
          <w:lang w:val="en-GB"/>
        </w:rPr>
      </w:pPr>
      <w:r w:rsidRPr="000E3897">
        <w:rPr>
          <w:rFonts w:ascii="Calibri" w:hAnsi="Calibri" w:cs="Calibri"/>
          <w:lang w:val="en-GB"/>
        </w:rPr>
        <w:t>Stockholm in December, 2025</w:t>
      </w:r>
    </w:p>
    <w:p w:rsidR="000C3711" w:rsidRPr="00D435C2" w:rsidP="000C3711" w14:paraId="074B1706" w14:textId="77777777">
      <w:pPr>
        <w:pStyle w:val="NormalIndent"/>
        <w:ind w:left="0"/>
        <w:jc w:val="center"/>
        <w:rPr>
          <w:rFonts w:ascii="Calibri" w:hAnsi="Calibri" w:cs="Calibri"/>
          <w:lang w:val="en-GB"/>
        </w:rPr>
      </w:pPr>
      <w:r w:rsidRPr="00D435C2">
        <w:rPr>
          <w:rFonts w:ascii="Calibri" w:hAnsi="Calibri" w:cs="Calibri"/>
          <w:lang w:val="en-GB"/>
        </w:rPr>
        <w:t>The board of directors of Nordrest Holding AB</w:t>
      </w:r>
    </w:p>
    <w:p w:rsidR="000C3711" w14:paraId="32C07591" w14:textId="77777777">
      <w:pPr>
        <w:spacing w:after="120" w:line="280" w:lineRule="atLeast"/>
        <w:rPr>
          <w:rFonts w:cs="Calibri"/>
          <w:b/>
          <w:sz w:val="24"/>
        </w:rPr>
      </w:pPr>
      <w:r>
        <w:rPr>
          <w:rFonts w:cs="Calibri"/>
          <w:b/>
          <w:sz w:val="24"/>
        </w:rPr>
        <w:br w:type="page"/>
      </w:r>
    </w:p>
    <w:p w:rsidR="007B1B20" w:rsidRPr="00D435C2" w:rsidP="0059689A" w14:paraId="0216EA97" w14:textId="521CB7B5">
      <w:pPr>
        <w:tabs>
          <w:tab w:val="left" w:pos="426"/>
        </w:tabs>
        <w:spacing w:after="120"/>
        <w:jc w:val="both"/>
        <w:rPr>
          <w:rFonts w:cs="Calibri"/>
          <w:bCs/>
          <w:sz w:val="24"/>
        </w:rPr>
      </w:pPr>
      <w:r w:rsidRPr="00D435C2">
        <w:rPr>
          <w:rFonts w:cs="Calibri"/>
          <w:b/>
          <w:sz w:val="24"/>
        </w:rPr>
        <w:t>Item 7 - The board of directors’ proposed resolution regarding the execution of a related party transaction in accordance with Chapter 16a of the Swedish Companies Act</w:t>
      </w:r>
      <w:r w:rsidRPr="00D435C2">
        <w:rPr>
          <w:rFonts w:cs="Calibri"/>
          <w:bCs/>
          <w:sz w:val="24"/>
        </w:rPr>
        <w:t xml:space="preserve"> </w:t>
      </w:r>
    </w:p>
    <w:p w:rsidR="008B5F6C" w:rsidRPr="00581058" w:rsidP="008B5F6C" w14:paraId="48337B26" w14:textId="77777777">
      <w:pPr>
        <w:tabs>
          <w:tab w:val="left" w:pos="426"/>
        </w:tabs>
        <w:spacing w:after="120"/>
        <w:jc w:val="both"/>
        <w:rPr>
          <w:rFonts w:cstheme="minorHAnsi"/>
          <w:sz w:val="21"/>
          <w:szCs w:val="21"/>
          <w:lang w:val="en-GB"/>
        </w:rPr>
      </w:pPr>
      <w:r>
        <w:rPr>
          <w:rFonts w:cstheme="minorHAnsi"/>
          <w:sz w:val="21"/>
          <w:szCs w:val="21"/>
        </w:rPr>
        <w:t xml:space="preserve">The board of directors proposes that the general meeting resolve to </w:t>
      </w:r>
      <w:r w:rsidRPr="00581058">
        <w:rPr>
          <w:rFonts w:cstheme="minorHAnsi"/>
          <w:sz w:val="21"/>
          <w:szCs w:val="21"/>
          <w:lang w:val="en-GB"/>
        </w:rPr>
        <w:t xml:space="preserve">approve a significant related party transaction between the Company and Thinc Holding 2 AB, reg. no. </w:t>
      </w:r>
      <w:r w:rsidRPr="0077171E">
        <w:rPr>
          <w:rFonts w:cstheme="minorHAnsi"/>
          <w:sz w:val="21"/>
          <w:szCs w:val="21"/>
        </w:rPr>
        <w:t>556900-1166</w:t>
      </w:r>
      <w:r w:rsidRPr="00581058">
        <w:rPr>
          <w:rFonts w:cstheme="minorHAnsi"/>
          <w:sz w:val="21"/>
          <w:szCs w:val="21"/>
          <w:lang w:val="en-GB"/>
        </w:rPr>
        <w:t xml:space="preserve"> (“</w:t>
      </w:r>
      <w:r w:rsidRPr="00581058">
        <w:rPr>
          <w:rFonts w:cstheme="minorHAnsi"/>
          <w:b/>
          <w:bCs/>
          <w:sz w:val="21"/>
          <w:szCs w:val="21"/>
          <w:lang w:val="en-GB"/>
        </w:rPr>
        <w:t>Thinc</w:t>
      </w:r>
      <w:r w:rsidRPr="00581058">
        <w:rPr>
          <w:rFonts w:cstheme="minorHAnsi"/>
          <w:sz w:val="21"/>
          <w:szCs w:val="21"/>
          <w:lang w:val="en-GB"/>
        </w:rPr>
        <w:t>”)</w:t>
      </w:r>
      <w:r>
        <w:rPr>
          <w:rFonts w:cstheme="minorHAnsi"/>
          <w:sz w:val="21"/>
          <w:szCs w:val="21"/>
        </w:rPr>
        <w:t xml:space="preserve">, subject to Chapter 16a of the Swedish Companies Act. </w:t>
      </w:r>
      <w:r w:rsidRPr="00581058">
        <w:rPr>
          <w:rFonts w:cstheme="minorHAnsi"/>
          <w:sz w:val="21"/>
          <w:szCs w:val="21"/>
          <w:lang w:val="en-GB"/>
        </w:rPr>
        <w:t>The following conditions shall apply to the resolution.</w:t>
      </w:r>
    </w:p>
    <w:p w:rsidR="008B5F6C" w:rsidRPr="00581058" w:rsidP="008B5F6C" w14:paraId="7A083A0B" w14:textId="77777777">
      <w:pPr>
        <w:tabs>
          <w:tab w:val="left" w:pos="426"/>
        </w:tabs>
        <w:spacing w:after="120"/>
        <w:jc w:val="both"/>
        <w:rPr>
          <w:rFonts w:cstheme="minorHAnsi"/>
          <w:sz w:val="21"/>
          <w:szCs w:val="21"/>
          <w:lang w:val="en-GB"/>
        </w:rPr>
      </w:pPr>
      <w:r w:rsidRPr="00581058">
        <w:rPr>
          <w:rFonts w:cstheme="minorHAnsi"/>
          <w:sz w:val="21"/>
          <w:szCs w:val="21"/>
          <w:lang w:val="en-GB"/>
        </w:rPr>
        <w:t>On 2 December 2025, the Company entered into a share purchase agreement with Thinc, SenPh AB, reg. no. 559336-4481, and Ljumb AB, reg. no. 559477-6956 (together, the “</w:t>
      </w:r>
      <w:r w:rsidRPr="00581058">
        <w:rPr>
          <w:rFonts w:cstheme="minorHAnsi"/>
          <w:b/>
          <w:bCs/>
          <w:sz w:val="21"/>
          <w:szCs w:val="21"/>
          <w:lang w:val="en-GB"/>
        </w:rPr>
        <w:t>Sellers</w:t>
      </w:r>
      <w:r w:rsidRPr="00581058">
        <w:rPr>
          <w:rFonts w:cstheme="minorHAnsi"/>
          <w:sz w:val="21"/>
          <w:szCs w:val="21"/>
          <w:lang w:val="en-GB"/>
        </w:rPr>
        <w:t>”) regarding the Company's acquisition of all 250 shares in TD fastighet AB, reg. no. 559395-5114 (“</w:t>
      </w:r>
      <w:r w:rsidRPr="00581058">
        <w:rPr>
          <w:rFonts w:cstheme="minorHAnsi"/>
          <w:b/>
          <w:bCs/>
          <w:sz w:val="21"/>
          <w:szCs w:val="21"/>
          <w:lang w:val="en-GB"/>
        </w:rPr>
        <w:t>TD fastighet</w:t>
      </w:r>
      <w:r w:rsidRPr="00581058">
        <w:rPr>
          <w:rFonts w:cstheme="minorHAnsi"/>
          <w:sz w:val="21"/>
          <w:szCs w:val="21"/>
          <w:lang w:val="en-GB"/>
        </w:rPr>
        <w:t>”).</w:t>
      </w:r>
    </w:p>
    <w:p w:rsidR="008B5F6C" w:rsidP="008B5F6C" w14:paraId="28A79EA6" w14:textId="77777777">
      <w:pPr>
        <w:tabs>
          <w:tab w:val="left" w:pos="426"/>
        </w:tabs>
        <w:spacing w:after="120"/>
        <w:jc w:val="both"/>
        <w:rPr>
          <w:rFonts w:cstheme="minorHAnsi"/>
          <w:sz w:val="21"/>
          <w:szCs w:val="21"/>
        </w:rPr>
      </w:pPr>
      <w:r w:rsidRPr="00581058">
        <w:rPr>
          <w:rFonts w:cstheme="minorHAnsi"/>
          <w:sz w:val="21"/>
          <w:szCs w:val="21"/>
        </w:rPr>
        <w:t>Thinc, i.e., one of the Sellers, is controlled and owned by Thomas Dahlstedt, who is also a member of the board of directors and CEO of the Company. Thomas Dahlstedt is thus indirectly a seller of the shares in TD fastighet and is to be regarded as a related party to the Company. The Company's acquisition of TD fastighet from Thinc is therefore subject to Chapter 16a of the Swedish Companies Act.</w:t>
      </w:r>
    </w:p>
    <w:p w:rsidR="008B5F6C" w:rsidRPr="008B5F6C" w:rsidP="008B5F6C" w14:paraId="417E1A73" w14:textId="77777777">
      <w:pPr>
        <w:tabs>
          <w:tab w:val="left" w:pos="426"/>
        </w:tabs>
        <w:spacing w:after="120"/>
        <w:jc w:val="both"/>
        <w:rPr>
          <w:rFonts w:cstheme="minorHAnsi"/>
          <w:bCs/>
          <w:sz w:val="21"/>
          <w:szCs w:val="21"/>
          <w:lang w:val="en-GB"/>
        </w:rPr>
      </w:pPr>
      <w:r w:rsidRPr="008B5F6C">
        <w:rPr>
          <w:rFonts w:cstheme="minorHAnsi"/>
          <w:bCs/>
          <w:sz w:val="21"/>
          <w:szCs w:val="21"/>
          <w:lang w:val="en-GB"/>
        </w:rPr>
        <w:t>Thinc, and indirectly Thomas Dahlstedt, owns approximately 75 percent of the shares in TD fastighet. The value that the related party is expected to receive through the transaction amounts to approximately SEK 63 million. Subject to the general meeting’s approval of the related party transaction, the transaction is expected to be completed as soon as possible after such approval.</w:t>
      </w:r>
    </w:p>
    <w:p w:rsidR="008B5F6C" w:rsidRPr="00E752BD" w:rsidP="008B5F6C" w14:paraId="1DC986F2" w14:textId="1570196F">
      <w:pPr>
        <w:tabs>
          <w:tab w:val="left" w:pos="426"/>
        </w:tabs>
        <w:spacing w:after="120"/>
        <w:jc w:val="both"/>
        <w:rPr>
          <w:rFonts w:cstheme="minorHAnsi"/>
          <w:sz w:val="21"/>
          <w:szCs w:val="21"/>
          <w:lang w:val="en-GB"/>
        </w:rPr>
      </w:pPr>
      <w:r w:rsidRPr="00E752BD">
        <w:rPr>
          <w:rFonts w:cstheme="minorHAnsi"/>
          <w:sz w:val="21"/>
          <w:szCs w:val="21"/>
          <w:lang w:val="en-GB"/>
        </w:rPr>
        <w:t xml:space="preserve">The board of directors of the Company has, in connection with the proposal under this item 7, submitted a report on the transaction. The report is set out in </w:t>
      </w:r>
      <w:r w:rsidRPr="00E752BD">
        <w:rPr>
          <w:rFonts w:cstheme="minorHAnsi"/>
          <w:b/>
          <w:bCs/>
          <w:sz w:val="21"/>
          <w:szCs w:val="21"/>
          <w:lang w:val="en-GB"/>
        </w:rPr>
        <w:t>appendix 7a</w:t>
      </w:r>
      <w:r w:rsidRPr="00E752BD">
        <w:rPr>
          <w:rFonts w:cstheme="minorHAnsi"/>
          <w:sz w:val="21"/>
          <w:szCs w:val="21"/>
          <w:lang w:val="en-GB"/>
        </w:rPr>
        <w:t>.</w:t>
      </w:r>
    </w:p>
    <w:p w:rsidR="000C3711" w:rsidP="000C3711" w14:paraId="2DCB371B" w14:textId="2DF8BC6D">
      <w:pPr>
        <w:tabs>
          <w:tab w:val="left" w:pos="426"/>
        </w:tabs>
        <w:spacing w:after="120"/>
        <w:jc w:val="both"/>
        <w:rPr>
          <w:rFonts w:cstheme="minorHAnsi"/>
          <w:sz w:val="21"/>
          <w:szCs w:val="21"/>
          <w:lang w:val="en-GB"/>
        </w:rPr>
      </w:pPr>
      <w:r w:rsidRPr="00E752BD">
        <w:rPr>
          <w:rFonts w:cstheme="minorHAnsi"/>
          <w:sz w:val="21"/>
          <w:szCs w:val="21"/>
          <w:lang w:val="en-GB"/>
        </w:rPr>
        <w:t>In the general meeting's decision regarding approval of a related party transaction, shares held by the related party shall not be taken into account.</w:t>
      </w:r>
    </w:p>
    <w:p w:rsidR="000C3711" w:rsidRPr="003A5AB5" w:rsidP="000C3711" w14:paraId="5DD52D6F" w14:textId="77777777">
      <w:pPr>
        <w:spacing w:after="120"/>
        <w:rPr>
          <w:rFonts w:cstheme="minorHAnsi"/>
          <w:sz w:val="21"/>
          <w:szCs w:val="21"/>
          <w:lang w:val="en-GB"/>
        </w:rPr>
      </w:pPr>
      <w:bookmarkStart w:id="0" w:name="_Hlk214449917"/>
      <w:r w:rsidRPr="003A5AB5">
        <w:rPr>
          <w:rFonts w:cstheme="minorHAnsi"/>
          <w:b/>
          <w:sz w:val="21"/>
          <w:szCs w:val="21"/>
          <w:lang w:val="en-GB"/>
        </w:rPr>
        <w:t>Majority requirements</w:t>
      </w:r>
    </w:p>
    <w:bookmarkEnd w:id="0"/>
    <w:p w:rsidR="000C3711" w:rsidRPr="000C3711" w:rsidP="000C3711" w14:paraId="270AA127" w14:textId="768DD6D8">
      <w:pPr>
        <w:spacing w:after="120"/>
        <w:rPr>
          <w:rFonts w:cstheme="minorHAnsi"/>
          <w:bCs/>
          <w:sz w:val="21"/>
          <w:szCs w:val="21"/>
          <w:lang w:val="en-GB"/>
        </w:rPr>
      </w:pPr>
      <w:r w:rsidRPr="00FB1117">
        <w:rPr>
          <w:rFonts w:cstheme="minorHAnsi"/>
          <w:bCs/>
          <w:sz w:val="21"/>
          <w:szCs w:val="21"/>
          <w:lang w:val="en-GB"/>
        </w:rPr>
        <w:t>For a decision to be valid under item 7, it must be supported by shareholders representing more than half of the votes cast at the meeting.</w:t>
      </w:r>
    </w:p>
    <w:p w:rsidR="00C67431" w:rsidRPr="00D435C2" w:rsidP="0059689A" w14:paraId="29716161" w14:textId="6EE70AF8">
      <w:pPr>
        <w:pStyle w:val="NormalIndent"/>
        <w:ind w:left="0"/>
        <w:jc w:val="center"/>
        <w:rPr>
          <w:rFonts w:ascii="Calibri" w:hAnsi="Calibri" w:cs="Calibri"/>
          <w:lang w:val="en-GB"/>
        </w:rPr>
      </w:pPr>
      <w:r w:rsidRPr="00D435C2">
        <w:rPr>
          <w:rFonts w:ascii="Calibri" w:hAnsi="Calibri" w:cs="Calibri"/>
          <w:lang w:val="en-GB"/>
        </w:rPr>
        <w:t>____________________</w:t>
      </w:r>
    </w:p>
    <w:p w:rsidR="00C67431" w:rsidRPr="00D435C2" w:rsidP="0059689A" w14:paraId="1EB95A95" w14:textId="1F3087F2">
      <w:pPr>
        <w:pStyle w:val="NormalIndent"/>
        <w:ind w:left="0"/>
        <w:jc w:val="center"/>
        <w:rPr>
          <w:rFonts w:ascii="Calibri" w:hAnsi="Calibri" w:cs="Calibri"/>
          <w:lang w:val="en-GB"/>
        </w:rPr>
      </w:pPr>
      <w:r w:rsidRPr="000E3897" w:rsidR="000C3711">
        <w:rPr>
          <w:rFonts w:ascii="Calibri" w:hAnsi="Calibri" w:cs="Calibri"/>
          <w:lang w:val="en-GB"/>
        </w:rPr>
        <w:t>Stockholm in December, 2025</w:t>
      </w:r>
    </w:p>
    <w:p w:rsidR="00F5414E" w:rsidRPr="00D435C2" w:rsidP="0059689A" w14:paraId="3DE4ADA4" w14:textId="348E946A">
      <w:pPr>
        <w:pStyle w:val="NormalIndent"/>
        <w:ind w:left="0"/>
        <w:jc w:val="center"/>
        <w:rPr>
          <w:rFonts w:ascii="Calibri" w:hAnsi="Calibri" w:cs="Calibri"/>
          <w:lang w:val="en-GB"/>
        </w:rPr>
      </w:pPr>
      <w:r w:rsidRPr="00D435C2" w:rsidR="00ED03A1">
        <w:rPr>
          <w:rFonts w:ascii="Calibri" w:hAnsi="Calibri" w:cs="Calibri"/>
          <w:lang w:val="en-GB"/>
        </w:rPr>
        <w:t>The board of directors of Nordrest Holding AB</w:t>
      </w:r>
    </w:p>
    <w:p w:rsidR="00233219" w:rsidRPr="00D435C2" w:rsidP="0059689A" w14:paraId="339306F2" w14:textId="2A7E5246">
      <w:pPr>
        <w:pStyle w:val="NormalIndent"/>
        <w:ind w:left="0"/>
        <w:jc w:val="center"/>
        <w:rPr>
          <w:rFonts w:ascii="Calibri" w:hAnsi="Calibri" w:cs="Calibri"/>
          <w:lang w:val="en-GB"/>
        </w:rPr>
      </w:pPr>
    </w:p>
    <w:sectPr w:rsidSect="0030559A">
      <w:headerReference w:type="even" r:id="rId4"/>
      <w:headerReference w:type="default" r:id="rId5"/>
      <w:footerReference w:type="even" r:id="rId6"/>
      <w:footerReference w:type="default" r:id="rId7"/>
      <w:headerReference w:type="first" r:id="rId8"/>
      <w:footerReference w:type="first" r:id="rId9"/>
      <w:pgSz w:w="11906" w:h="16838" w:code="9"/>
      <w:pgMar w:top="2013" w:right="1361" w:bottom="2325" w:left="2155"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F6C" w14:paraId="5E3891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CF5" w:rsidP="007B3CF5" w14:paraId="0FD17BF4" w14:textId="1C0353D2">
    <w:pPr>
      <w:pStyle w:val="Footer"/>
      <w:jc w:val="right"/>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883692602"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1A8E" w:rsidRPr="0023343B" w14:textId="7BA3C378">
                          <w:pPr>
                            <w:rPr>
                              <w:rFonts w:ascii="Arial" w:hAnsi="Arial" w:cs="Arial"/>
                              <w:color w:val="A0A0A0"/>
                              <w:sz w:val="13"/>
                            </w:rPr>
                          </w:pPr>
                          <w:r w:rsidRPr="0023343B">
                            <w:rPr>
                              <w:rFonts w:ascii="Arial" w:hAnsi="Arial" w:cs="Arial"/>
                              <w:color w:val="A0A0A0"/>
                              <w:sz w:val="13"/>
                            </w:rPr>
                            <w:t>SW45582180/2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631A8E" w:rsidRPr="0023343B" w14:paraId="64AAB698" w14:textId="7BA3C378">
                    <w:pPr>
                      <w:rPr>
                        <w:rFonts w:ascii="Arial" w:hAnsi="Arial" w:cs="Arial"/>
                        <w:color w:val="A0A0A0"/>
                        <w:sz w:val="13"/>
                      </w:rPr>
                    </w:pPr>
                    <w:r w:rsidRPr="0023343B">
                      <w:rPr>
                        <w:rFonts w:ascii="Arial" w:hAnsi="Arial" w:cs="Arial"/>
                        <w:color w:val="A0A0A0"/>
                        <w:sz w:val="13"/>
                      </w:rPr>
                      <w:t>SW45582180/2</w:t>
                    </w:r>
                  </w:p>
                </w:txbxContent>
              </v:textbox>
            </v:shape>
          </w:pict>
        </mc:Fallback>
      </mc:AlternateContent>
    </w:r>
    <w:r w:rsidR="007B3CF5">
      <w:rPr>
        <w:sz w:val="20"/>
      </w:rPr>
      <w:fldChar w:fldCharType="begin"/>
    </w:r>
    <w:r w:rsidR="007B3CF5">
      <w:rPr>
        <w:sz w:val="20"/>
      </w:rPr>
      <w:instrText xml:space="preserve"> PAGE  \* Arabic  \* MERGEFORMAT </w:instrText>
    </w:r>
    <w:r w:rsidR="007B3CF5">
      <w:rPr>
        <w:sz w:val="20"/>
      </w:rPr>
      <w:fldChar w:fldCharType="separate"/>
    </w:r>
    <w:r w:rsidR="000753D8">
      <w:rPr>
        <w:noProof/>
        <w:sz w:val="20"/>
      </w:rPr>
      <w:t>2</w:t>
    </w:r>
    <w:r w:rsidR="007B3CF5">
      <w:rPr>
        <w:sz w:val="20"/>
      </w:rPr>
      <w:fldChar w:fldCharType="end"/>
    </w:r>
  </w:p>
  <w:p w:rsidR="00217CB1" w:rsidRPr="007B3CF5" w:rsidP="007B3CF5" w14:paraId="728CFB5B" w14:textId="77777777">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1CF" w:rsidRPr="0030559A" w:rsidP="007E5E8E" w14:paraId="31A01567" w14:textId="77777777">
    <w:pPr>
      <w:pStyle w:val="Footer"/>
    </w:pPr>
    <w:bookmarkStart w:id="1" w:name="Sidfot"/>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F6C" w14:paraId="47946F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F6C" w14:paraId="1EBD14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F6C" w14:paraId="285F7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4A669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63875"/>
    <w:multiLevelType w:val="hybridMultilevel"/>
    <w:tmpl w:val="FC8AE1BA"/>
    <w:lvl w:ilvl="0">
      <w:start w:val="1"/>
      <w:numFmt w:val="decimal"/>
      <w:lvlText w:val="%1."/>
      <w:lvlJc w:val="left"/>
      <w:pPr>
        <w:ind w:left="36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A73EA"/>
    <w:multiLevelType w:val="hybridMultilevel"/>
    <w:tmpl w:val="EC588124"/>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 w15:restartNumberingAfterBreak="0">
    <w:nsid w:val="119B1D4A"/>
    <w:multiLevelType w:val="multilevel"/>
    <w:tmpl w:val="A8321A9A"/>
    <w:lvl w:ilvl="0">
      <w:start w:val="1"/>
      <w:numFmt w:val="lowerLetter"/>
      <w:lvlText w:val="(%1)"/>
      <w:lvlJc w:val="left"/>
      <w:pPr>
        <w:tabs>
          <w:tab w:val="num" w:pos="710"/>
        </w:tabs>
        <w:ind w:left="1277" w:hanging="567"/>
      </w:pPr>
    </w:lvl>
    <w:lvl w:ilvl="1">
      <w:start w:val="1"/>
      <w:numFmt w:val="lowerLetter"/>
      <w:lvlText w:val="%2)"/>
      <w:lvlJc w:val="left"/>
      <w:pPr>
        <w:tabs>
          <w:tab w:val="num" w:pos="710"/>
        </w:tabs>
        <w:ind w:left="1277" w:hanging="567"/>
      </w:pPr>
    </w:lvl>
    <w:lvl w:ilvl="2">
      <w:start w:val="1"/>
      <w:numFmt w:val="lowerRoman"/>
      <w:lvlText w:val="%3)"/>
      <w:lvlJc w:val="left"/>
      <w:pPr>
        <w:tabs>
          <w:tab w:val="num" w:pos="710"/>
        </w:tabs>
        <w:ind w:left="1277" w:hanging="567"/>
      </w:pPr>
    </w:lvl>
    <w:lvl w:ilvl="3">
      <w:start w:val="1"/>
      <w:numFmt w:val="decimal"/>
      <w:lvlText w:val="(%4)"/>
      <w:lvlJc w:val="left"/>
      <w:pPr>
        <w:tabs>
          <w:tab w:val="num" w:pos="710"/>
        </w:tabs>
        <w:ind w:left="1277" w:hanging="567"/>
      </w:pPr>
    </w:lvl>
    <w:lvl w:ilvl="4">
      <w:start w:val="1"/>
      <w:numFmt w:val="lowerLetter"/>
      <w:lvlText w:val="(%5)"/>
      <w:lvlJc w:val="left"/>
      <w:pPr>
        <w:tabs>
          <w:tab w:val="num" w:pos="710"/>
        </w:tabs>
        <w:ind w:left="1277" w:hanging="567"/>
      </w:pPr>
    </w:lvl>
    <w:lvl w:ilvl="5">
      <w:start w:val="1"/>
      <w:numFmt w:val="lowerRoman"/>
      <w:lvlText w:val="(%6)"/>
      <w:lvlJc w:val="left"/>
      <w:pPr>
        <w:tabs>
          <w:tab w:val="num" w:pos="710"/>
        </w:tabs>
        <w:ind w:left="1277" w:hanging="567"/>
      </w:pPr>
    </w:lvl>
    <w:lvl w:ilvl="6">
      <w:start w:val="1"/>
      <w:numFmt w:val="decimal"/>
      <w:lvlText w:val="%7."/>
      <w:lvlJc w:val="left"/>
      <w:pPr>
        <w:tabs>
          <w:tab w:val="num" w:pos="710"/>
        </w:tabs>
        <w:ind w:left="1277" w:hanging="567"/>
      </w:pPr>
    </w:lvl>
    <w:lvl w:ilvl="7">
      <w:start w:val="1"/>
      <w:numFmt w:val="lowerLetter"/>
      <w:lvlText w:val="%8."/>
      <w:lvlJc w:val="left"/>
      <w:pPr>
        <w:tabs>
          <w:tab w:val="num" w:pos="710"/>
        </w:tabs>
        <w:ind w:left="1277" w:hanging="567"/>
      </w:pPr>
    </w:lvl>
    <w:lvl w:ilvl="8">
      <w:start w:val="1"/>
      <w:numFmt w:val="lowerRoman"/>
      <w:lvlText w:val="%9."/>
      <w:lvlJc w:val="left"/>
      <w:pPr>
        <w:tabs>
          <w:tab w:val="num" w:pos="710"/>
        </w:tabs>
        <w:ind w:left="1277" w:hanging="567"/>
      </w:pPr>
    </w:lvl>
  </w:abstractNum>
  <w:abstractNum w:abstractNumId="4" w15:restartNumberingAfterBreak="0">
    <w:nsid w:val="13892321"/>
    <w:multiLevelType w:val="multilevel"/>
    <w:tmpl w:val="08B45568"/>
    <w:numStyleLink w:val="SetterwallsTabellnumrering"/>
  </w:abstractNum>
  <w:abstractNum w:abstractNumId="5" w15:restartNumberingAfterBreak="0">
    <w:nsid w:val="55AB3979"/>
    <w:multiLevelType w:val="hybridMultilevel"/>
    <w:tmpl w:val="92F8B082"/>
    <w:lvl w:ilvl="0">
      <w:start w:val="1"/>
      <w:numFmt w:val="decimal"/>
      <w:lvlText w:val="%1."/>
      <w:lvlJc w:val="left"/>
      <w:pPr>
        <w:ind w:left="360" w:hanging="360"/>
      </w:pPr>
      <w:rPr>
        <w:rFonts w:hint="default"/>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6" w15:restartNumberingAfterBreak="0">
    <w:nsid w:val="55C000B1"/>
    <w:multiLevelType w:val="hybridMultilevel"/>
    <w:tmpl w:val="416ADF2C"/>
    <w:lvl w:ilvl="0">
      <w:start w:val="1"/>
      <w:numFmt w:val="decimal"/>
      <w:lvlText w:val="%1."/>
      <w:lvlJc w:val="left"/>
      <w:pPr>
        <w:ind w:left="360" w:hanging="360"/>
      </w:pPr>
      <w:rPr>
        <w:rFonts w:asciiTheme="minorHAnsi" w:eastAsiaTheme="minorHAnsi"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1A596C"/>
    <w:multiLevelType w:val="hybridMultilevel"/>
    <w:tmpl w:val="7616B2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54686E"/>
    <w:multiLevelType w:val="multilevel"/>
    <w:tmpl w:val="6EA8B096"/>
    <w:lvl w:ilvl="0">
      <w:start w:val="1"/>
      <w:numFmt w:val="decimal"/>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F96BB6"/>
    <w:multiLevelType w:val="multilevel"/>
    <w:tmpl w:val="D5F84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11"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A206D0"/>
    <w:multiLevelType w:val="multilevel"/>
    <w:tmpl w:val="A7641D30"/>
    <w:numStyleLink w:val="Setterwallsnumrering"/>
  </w:abstractNum>
  <w:abstractNum w:abstractNumId="13"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EA76AF"/>
    <w:multiLevelType w:val="multilevel"/>
    <w:tmpl w:val="08B45568"/>
    <w:numStyleLink w:val="SetterwallsTabellnumrering"/>
  </w:abstractNum>
  <w:num w:numId="1" w16cid:durableId="2111461019">
    <w:abstractNumId w:val="9"/>
  </w:num>
  <w:num w:numId="2" w16cid:durableId="941690154">
    <w:abstractNumId w:val="9"/>
  </w:num>
  <w:num w:numId="3" w16cid:durableId="1002315222">
    <w:abstractNumId w:val="10"/>
  </w:num>
  <w:num w:numId="4" w16cid:durableId="1336300787">
    <w:abstractNumId w:val="9"/>
  </w:num>
  <w:num w:numId="5" w16cid:durableId="1710495467">
    <w:abstractNumId w:val="9"/>
  </w:num>
  <w:num w:numId="6" w16cid:durableId="1662076930">
    <w:abstractNumId w:val="9"/>
  </w:num>
  <w:num w:numId="7" w16cid:durableId="279529478">
    <w:abstractNumId w:val="0"/>
  </w:num>
  <w:num w:numId="8" w16cid:durableId="426728719">
    <w:abstractNumId w:val="9"/>
  </w:num>
  <w:num w:numId="9" w16cid:durableId="1940526284">
    <w:abstractNumId w:val="9"/>
  </w:num>
  <w:num w:numId="10" w16cid:durableId="100876184">
    <w:abstractNumId w:val="9"/>
  </w:num>
  <w:num w:numId="11" w16cid:durableId="73405018">
    <w:abstractNumId w:val="5"/>
  </w:num>
  <w:num w:numId="12" w16cid:durableId="671837652">
    <w:abstractNumId w:val="9"/>
  </w:num>
  <w:num w:numId="13" w16cid:durableId="1503547629">
    <w:abstractNumId w:val="12"/>
  </w:num>
  <w:num w:numId="14" w16cid:durableId="966466736">
    <w:abstractNumId w:val="12"/>
  </w:num>
  <w:num w:numId="15" w16cid:durableId="1326787406">
    <w:abstractNumId w:val="12"/>
  </w:num>
  <w:num w:numId="16" w16cid:durableId="1727023128">
    <w:abstractNumId w:val="12"/>
  </w:num>
  <w:num w:numId="17" w16cid:durableId="245921752">
    <w:abstractNumId w:val="12"/>
  </w:num>
  <w:num w:numId="18" w16cid:durableId="865870051">
    <w:abstractNumId w:val="12"/>
  </w:num>
  <w:num w:numId="19" w16cid:durableId="1799376214">
    <w:abstractNumId w:val="12"/>
  </w:num>
  <w:num w:numId="20" w16cid:durableId="1849713597">
    <w:abstractNumId w:val="12"/>
  </w:num>
  <w:num w:numId="21" w16cid:durableId="795761060">
    <w:abstractNumId w:val="5"/>
  </w:num>
  <w:num w:numId="22" w16cid:durableId="947279531">
    <w:abstractNumId w:val="12"/>
  </w:num>
  <w:num w:numId="23" w16cid:durableId="1833907221">
    <w:abstractNumId w:val="12"/>
  </w:num>
  <w:num w:numId="24" w16cid:durableId="2085713231">
    <w:abstractNumId w:val="12"/>
  </w:num>
  <w:num w:numId="25" w16cid:durableId="645622880">
    <w:abstractNumId w:val="12"/>
  </w:num>
  <w:num w:numId="26" w16cid:durableId="317000470">
    <w:abstractNumId w:val="12"/>
  </w:num>
  <w:num w:numId="27" w16cid:durableId="1075127488">
    <w:abstractNumId w:val="12"/>
  </w:num>
  <w:num w:numId="28" w16cid:durableId="1445884868">
    <w:abstractNumId w:val="5"/>
  </w:num>
  <w:num w:numId="29" w16cid:durableId="1896694169">
    <w:abstractNumId w:val="5"/>
  </w:num>
  <w:num w:numId="30" w16cid:durableId="2090887340">
    <w:abstractNumId w:val="8"/>
  </w:num>
  <w:num w:numId="31" w16cid:durableId="2068796939">
    <w:abstractNumId w:val="13"/>
  </w:num>
  <w:num w:numId="32" w16cid:durableId="1756124362">
    <w:abstractNumId w:val="4"/>
  </w:num>
  <w:num w:numId="33" w16cid:durableId="264729801">
    <w:abstractNumId w:val="11"/>
  </w:num>
  <w:num w:numId="34" w16cid:durableId="71513187">
    <w:abstractNumId w:val="4"/>
  </w:num>
  <w:num w:numId="35" w16cid:durableId="997272422">
    <w:abstractNumId w:val="14"/>
  </w:num>
  <w:num w:numId="36" w16cid:durableId="924266173">
    <w:abstractNumId w:val="11"/>
  </w:num>
  <w:num w:numId="37" w16cid:durableId="2009408559">
    <w:abstractNumId w:val="14"/>
  </w:num>
  <w:num w:numId="38" w16cid:durableId="171067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8370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249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34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548832">
    <w:abstractNumId w:val="6"/>
  </w:num>
  <w:num w:numId="43" w16cid:durableId="994603723">
    <w:abstractNumId w:val="2"/>
  </w:num>
  <w:num w:numId="44" w16cid:durableId="188922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3B"/>
    <w:rsid w:val="00006073"/>
    <w:rsid w:val="000211D5"/>
    <w:rsid w:val="00026CF4"/>
    <w:rsid w:val="00031DC0"/>
    <w:rsid w:val="000450C0"/>
    <w:rsid w:val="000577D7"/>
    <w:rsid w:val="00071BEE"/>
    <w:rsid w:val="000753D8"/>
    <w:rsid w:val="0008285D"/>
    <w:rsid w:val="00085DE6"/>
    <w:rsid w:val="000A0218"/>
    <w:rsid w:val="000B48AB"/>
    <w:rsid w:val="000C3711"/>
    <w:rsid w:val="000D1CED"/>
    <w:rsid w:val="000D606E"/>
    <w:rsid w:val="000E3897"/>
    <w:rsid w:val="001010D6"/>
    <w:rsid w:val="00104FD0"/>
    <w:rsid w:val="001117A1"/>
    <w:rsid w:val="00113809"/>
    <w:rsid w:val="001169EC"/>
    <w:rsid w:val="001364B7"/>
    <w:rsid w:val="001424A1"/>
    <w:rsid w:val="00145D72"/>
    <w:rsid w:val="00163247"/>
    <w:rsid w:val="0017679D"/>
    <w:rsid w:val="001812A7"/>
    <w:rsid w:val="0019456B"/>
    <w:rsid w:val="001A6602"/>
    <w:rsid w:val="001C0808"/>
    <w:rsid w:val="001D397E"/>
    <w:rsid w:val="001D5DD1"/>
    <w:rsid w:val="001E4D1C"/>
    <w:rsid w:val="001E6038"/>
    <w:rsid w:val="001F1F10"/>
    <w:rsid w:val="001F4C9F"/>
    <w:rsid w:val="002125F8"/>
    <w:rsid w:val="00217CB1"/>
    <w:rsid w:val="00232649"/>
    <w:rsid w:val="00233219"/>
    <w:rsid w:val="0023343B"/>
    <w:rsid w:val="00262D8F"/>
    <w:rsid w:val="00271DF4"/>
    <w:rsid w:val="00273E11"/>
    <w:rsid w:val="002828C8"/>
    <w:rsid w:val="00296695"/>
    <w:rsid w:val="002A3709"/>
    <w:rsid w:val="002C1C3E"/>
    <w:rsid w:val="002C226F"/>
    <w:rsid w:val="002E51DA"/>
    <w:rsid w:val="002F67E1"/>
    <w:rsid w:val="0030559A"/>
    <w:rsid w:val="00315797"/>
    <w:rsid w:val="00315A07"/>
    <w:rsid w:val="00316C83"/>
    <w:rsid w:val="003267BB"/>
    <w:rsid w:val="00337415"/>
    <w:rsid w:val="0034241C"/>
    <w:rsid w:val="00347586"/>
    <w:rsid w:val="0035224B"/>
    <w:rsid w:val="003558C0"/>
    <w:rsid w:val="00360D5F"/>
    <w:rsid w:val="00371BA8"/>
    <w:rsid w:val="00373704"/>
    <w:rsid w:val="00374D0B"/>
    <w:rsid w:val="003804C2"/>
    <w:rsid w:val="003A21B1"/>
    <w:rsid w:val="003A5AB5"/>
    <w:rsid w:val="003B7199"/>
    <w:rsid w:val="003C4D35"/>
    <w:rsid w:val="003C555E"/>
    <w:rsid w:val="003D39D2"/>
    <w:rsid w:val="004549AA"/>
    <w:rsid w:val="00463F59"/>
    <w:rsid w:val="00484C4E"/>
    <w:rsid w:val="00490E31"/>
    <w:rsid w:val="0049325D"/>
    <w:rsid w:val="00495578"/>
    <w:rsid w:val="00495846"/>
    <w:rsid w:val="004A3FD6"/>
    <w:rsid w:val="004B2586"/>
    <w:rsid w:val="004B5D3F"/>
    <w:rsid w:val="004D1C38"/>
    <w:rsid w:val="004D2149"/>
    <w:rsid w:val="004E6299"/>
    <w:rsid w:val="00517EF3"/>
    <w:rsid w:val="0055045D"/>
    <w:rsid w:val="0055238E"/>
    <w:rsid w:val="00556DF0"/>
    <w:rsid w:val="00564CF5"/>
    <w:rsid w:val="00581058"/>
    <w:rsid w:val="00584336"/>
    <w:rsid w:val="00591A96"/>
    <w:rsid w:val="0059689A"/>
    <w:rsid w:val="00596AA7"/>
    <w:rsid w:val="0059718F"/>
    <w:rsid w:val="005A4429"/>
    <w:rsid w:val="005C2EDF"/>
    <w:rsid w:val="005C6D0C"/>
    <w:rsid w:val="00603109"/>
    <w:rsid w:val="00606E8D"/>
    <w:rsid w:val="00606F58"/>
    <w:rsid w:val="00631A8E"/>
    <w:rsid w:val="00636111"/>
    <w:rsid w:val="00662863"/>
    <w:rsid w:val="006637B1"/>
    <w:rsid w:val="0066735E"/>
    <w:rsid w:val="00675CAD"/>
    <w:rsid w:val="00685BB7"/>
    <w:rsid w:val="00686580"/>
    <w:rsid w:val="00687D67"/>
    <w:rsid w:val="00694C3B"/>
    <w:rsid w:val="006979B0"/>
    <w:rsid w:val="006B1792"/>
    <w:rsid w:val="006C207D"/>
    <w:rsid w:val="006C5183"/>
    <w:rsid w:val="006D753B"/>
    <w:rsid w:val="006F24BC"/>
    <w:rsid w:val="00721C15"/>
    <w:rsid w:val="00722C0E"/>
    <w:rsid w:val="007646C6"/>
    <w:rsid w:val="00770367"/>
    <w:rsid w:val="0077171E"/>
    <w:rsid w:val="00785C17"/>
    <w:rsid w:val="00787EAF"/>
    <w:rsid w:val="007A1F6F"/>
    <w:rsid w:val="007A70AE"/>
    <w:rsid w:val="007B1B20"/>
    <w:rsid w:val="007B1CD1"/>
    <w:rsid w:val="007B3CF5"/>
    <w:rsid w:val="007B73A7"/>
    <w:rsid w:val="007C3FA3"/>
    <w:rsid w:val="007C6EC0"/>
    <w:rsid w:val="007D357F"/>
    <w:rsid w:val="007D6137"/>
    <w:rsid w:val="007D63A5"/>
    <w:rsid w:val="007E305F"/>
    <w:rsid w:val="007E4171"/>
    <w:rsid w:val="007E5E8E"/>
    <w:rsid w:val="007F7B1B"/>
    <w:rsid w:val="008114C8"/>
    <w:rsid w:val="008169F4"/>
    <w:rsid w:val="0082543F"/>
    <w:rsid w:val="00833A26"/>
    <w:rsid w:val="00841C36"/>
    <w:rsid w:val="00851CED"/>
    <w:rsid w:val="00853854"/>
    <w:rsid w:val="00861386"/>
    <w:rsid w:val="00862AB7"/>
    <w:rsid w:val="008634EE"/>
    <w:rsid w:val="008807D5"/>
    <w:rsid w:val="00893062"/>
    <w:rsid w:val="008B108E"/>
    <w:rsid w:val="008B5F6C"/>
    <w:rsid w:val="008D3969"/>
    <w:rsid w:val="008D4DB4"/>
    <w:rsid w:val="008D7FCA"/>
    <w:rsid w:val="008E3F3B"/>
    <w:rsid w:val="008F49A9"/>
    <w:rsid w:val="009305BC"/>
    <w:rsid w:val="0095728E"/>
    <w:rsid w:val="00973AB0"/>
    <w:rsid w:val="00974FB3"/>
    <w:rsid w:val="00987E95"/>
    <w:rsid w:val="009A74C2"/>
    <w:rsid w:val="009C1DEB"/>
    <w:rsid w:val="009C3D79"/>
    <w:rsid w:val="009E0233"/>
    <w:rsid w:val="009F695B"/>
    <w:rsid w:val="00A0159A"/>
    <w:rsid w:val="00A06F0A"/>
    <w:rsid w:val="00A17F3B"/>
    <w:rsid w:val="00A25FA7"/>
    <w:rsid w:val="00A50423"/>
    <w:rsid w:val="00A5272E"/>
    <w:rsid w:val="00A73E62"/>
    <w:rsid w:val="00A83531"/>
    <w:rsid w:val="00A9117F"/>
    <w:rsid w:val="00A9401A"/>
    <w:rsid w:val="00A9579A"/>
    <w:rsid w:val="00AA21ED"/>
    <w:rsid w:val="00AC7801"/>
    <w:rsid w:val="00AD0EE7"/>
    <w:rsid w:val="00AD5CBD"/>
    <w:rsid w:val="00AE31CF"/>
    <w:rsid w:val="00AF1624"/>
    <w:rsid w:val="00B01549"/>
    <w:rsid w:val="00B16019"/>
    <w:rsid w:val="00B2224B"/>
    <w:rsid w:val="00B35EBC"/>
    <w:rsid w:val="00B44148"/>
    <w:rsid w:val="00B449A7"/>
    <w:rsid w:val="00B64F0D"/>
    <w:rsid w:val="00B66B48"/>
    <w:rsid w:val="00B71FAF"/>
    <w:rsid w:val="00B85A8F"/>
    <w:rsid w:val="00B90537"/>
    <w:rsid w:val="00B92A23"/>
    <w:rsid w:val="00BA0DF7"/>
    <w:rsid w:val="00BC6811"/>
    <w:rsid w:val="00BE2339"/>
    <w:rsid w:val="00C14C99"/>
    <w:rsid w:val="00C15D8F"/>
    <w:rsid w:val="00C43874"/>
    <w:rsid w:val="00C60510"/>
    <w:rsid w:val="00C610CA"/>
    <w:rsid w:val="00C665D8"/>
    <w:rsid w:val="00C67431"/>
    <w:rsid w:val="00C72F7E"/>
    <w:rsid w:val="00C831E5"/>
    <w:rsid w:val="00C8631C"/>
    <w:rsid w:val="00CA3B15"/>
    <w:rsid w:val="00CA7310"/>
    <w:rsid w:val="00CB1897"/>
    <w:rsid w:val="00CB49AD"/>
    <w:rsid w:val="00CC1BAC"/>
    <w:rsid w:val="00CD1668"/>
    <w:rsid w:val="00CE0CA4"/>
    <w:rsid w:val="00CE2C2F"/>
    <w:rsid w:val="00CE48E9"/>
    <w:rsid w:val="00CF2C55"/>
    <w:rsid w:val="00D03DEE"/>
    <w:rsid w:val="00D07509"/>
    <w:rsid w:val="00D435C2"/>
    <w:rsid w:val="00D53D54"/>
    <w:rsid w:val="00D53D6F"/>
    <w:rsid w:val="00D70233"/>
    <w:rsid w:val="00D73461"/>
    <w:rsid w:val="00DA3E62"/>
    <w:rsid w:val="00DA6E40"/>
    <w:rsid w:val="00DA75DE"/>
    <w:rsid w:val="00DB78EC"/>
    <w:rsid w:val="00DC2E79"/>
    <w:rsid w:val="00DD7363"/>
    <w:rsid w:val="00DF3390"/>
    <w:rsid w:val="00E01703"/>
    <w:rsid w:val="00E266D8"/>
    <w:rsid w:val="00E32389"/>
    <w:rsid w:val="00E65825"/>
    <w:rsid w:val="00E752BD"/>
    <w:rsid w:val="00E906FC"/>
    <w:rsid w:val="00E923AC"/>
    <w:rsid w:val="00EA20A9"/>
    <w:rsid w:val="00EA5064"/>
    <w:rsid w:val="00EB6DC7"/>
    <w:rsid w:val="00ED03A1"/>
    <w:rsid w:val="00F04EA1"/>
    <w:rsid w:val="00F06BC3"/>
    <w:rsid w:val="00F27CD8"/>
    <w:rsid w:val="00F324E4"/>
    <w:rsid w:val="00F33027"/>
    <w:rsid w:val="00F33B4D"/>
    <w:rsid w:val="00F36C94"/>
    <w:rsid w:val="00F4076C"/>
    <w:rsid w:val="00F409C3"/>
    <w:rsid w:val="00F5414E"/>
    <w:rsid w:val="00F64334"/>
    <w:rsid w:val="00F66DCC"/>
    <w:rsid w:val="00F8323B"/>
    <w:rsid w:val="00F86EA8"/>
    <w:rsid w:val="00FA39E7"/>
    <w:rsid w:val="00FB0072"/>
    <w:rsid w:val="00FB1117"/>
    <w:rsid w:val="00FB3A54"/>
    <w:rsid w:val="00FC7718"/>
    <w:rsid w:val="00FE5A67"/>
    <w:rsid w:val="00FF0B0C"/>
    <w:rsid w:val="00FF3C4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7A9FB72A"/>
  <w15:chartTrackingRefBased/>
  <w15:docId w15:val="{ABFE2684-1A5C-4B97-8CF6-6C54E8D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25D"/>
    <w:pPr>
      <w:spacing w:after="0" w:line="240" w:lineRule="auto"/>
    </w:pPr>
    <w:rPr>
      <w:rFonts w:ascii="Calibri" w:eastAsia="Times New Roman" w:hAnsi="Calibri" w:cs="Times New Roman"/>
      <w:sz w:val="22"/>
      <w:szCs w:val="24"/>
      <w:lang w:val="en-US"/>
    </w:rPr>
  </w:style>
  <w:style w:type="paragraph" w:styleId="Heading1">
    <w:name w:val="heading 1"/>
    <w:basedOn w:val="Normal"/>
    <w:next w:val="Normal"/>
    <w:link w:val="Rubrik1Char"/>
    <w:uiPriority w:val="9"/>
    <w:semiHidden/>
    <w:qFormat/>
    <w:rsid w:val="000A0218"/>
    <w:pPr>
      <w:keepNext/>
      <w:keepLines/>
      <w:spacing w:before="320" w:after="120" w:line="280" w:lineRule="atLeast"/>
      <w:outlineLvl w:val="0"/>
    </w:pPr>
    <w:rPr>
      <w:rFonts w:asciiTheme="majorHAnsi" w:eastAsiaTheme="majorEastAsia" w:hAnsiTheme="majorHAnsi" w:cstheme="majorBidi"/>
      <w:b/>
      <w:sz w:val="21"/>
      <w:szCs w:val="32"/>
      <w:lang w:val="sv-SE"/>
    </w:rPr>
  </w:style>
  <w:style w:type="paragraph" w:styleId="Heading2">
    <w:name w:val="heading 2"/>
    <w:basedOn w:val="Normal"/>
    <w:next w:val="Normal"/>
    <w:link w:val="Rubrik2Char"/>
    <w:uiPriority w:val="9"/>
    <w:semiHidden/>
    <w:qFormat/>
    <w:rsid w:val="000A0218"/>
    <w:pPr>
      <w:keepNext/>
      <w:keepLines/>
      <w:spacing w:before="280" w:after="120" w:line="280" w:lineRule="atLeast"/>
      <w:outlineLvl w:val="1"/>
    </w:pPr>
    <w:rPr>
      <w:rFonts w:asciiTheme="majorHAnsi" w:eastAsiaTheme="majorEastAsia" w:hAnsiTheme="majorHAnsi" w:cstheme="majorBidi"/>
      <w:b/>
      <w:sz w:val="20"/>
      <w:szCs w:val="26"/>
      <w:lang w:val="sv-SE"/>
    </w:rPr>
  </w:style>
  <w:style w:type="paragraph" w:styleId="Heading3">
    <w:name w:val="heading 3"/>
    <w:basedOn w:val="Normal"/>
    <w:next w:val="Normal"/>
    <w:link w:val="Rubrik3Char"/>
    <w:uiPriority w:val="9"/>
    <w:semiHidden/>
    <w:qFormat/>
    <w:rsid w:val="00687D67"/>
    <w:pPr>
      <w:keepNext/>
      <w:keepLines/>
      <w:spacing w:after="120" w:line="280" w:lineRule="atLeast"/>
      <w:outlineLvl w:val="2"/>
    </w:pPr>
    <w:rPr>
      <w:rFonts w:asciiTheme="majorHAnsi" w:eastAsiaTheme="majorEastAsia" w:hAnsiTheme="majorHAnsi" w:cstheme="majorBidi"/>
      <w:sz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1"/>
    <w:qFormat/>
    <w:rsid w:val="000B5533"/>
    <w:pPr>
      <w:keepLines w:val="0"/>
      <w:numPr>
        <w:numId w:val="27"/>
      </w:numPr>
      <w:spacing w:before="0"/>
    </w:pPr>
  </w:style>
  <w:style w:type="paragraph" w:customStyle="1" w:styleId="Nr-Rubrik2">
    <w:name w:val="Nr-Rubrik2"/>
    <w:basedOn w:val="Heading2"/>
    <w:next w:val="NormalIndent"/>
    <w:link w:val="Nr-Rubrik2Char"/>
    <w:uiPriority w:val="1"/>
    <w:qFormat/>
    <w:rsid w:val="000B5533"/>
    <w:pPr>
      <w:keepLines w:val="0"/>
      <w:numPr>
        <w:ilvl w:val="1"/>
        <w:numId w:val="27"/>
      </w:numPr>
      <w:spacing w:before="0"/>
    </w:pPr>
  </w:style>
  <w:style w:type="character" w:customStyle="1" w:styleId="Nr-Rubrik1Char">
    <w:name w:val="Nr-Rubrik1 Char"/>
    <w:basedOn w:val="DefaultParagraphFont"/>
    <w:link w:val="Nr-Rubrik1"/>
    <w:uiPriority w:val="1"/>
    <w:rsid w:val="00735BA1"/>
    <w:rPr>
      <w:rFonts w:asciiTheme="majorHAnsi" w:eastAsiaTheme="majorEastAsia" w:hAnsiTheme="majorHAnsi" w:cstheme="majorBidi"/>
      <w:b/>
      <w:szCs w:val="32"/>
    </w:rPr>
  </w:style>
  <w:style w:type="paragraph" w:customStyle="1" w:styleId="Nr-Rubrik3">
    <w:name w:val="Nr-Rubrik3"/>
    <w:basedOn w:val="Heading3"/>
    <w:next w:val="NormalIndent"/>
    <w:link w:val="Nr-Rubrik3Char"/>
    <w:uiPriority w:val="1"/>
    <w:qFormat/>
    <w:rsid w:val="000B5533"/>
    <w:pPr>
      <w:keepLines w:val="0"/>
      <w:numPr>
        <w:ilvl w:val="2"/>
        <w:numId w:val="27"/>
      </w:numPr>
    </w:pPr>
    <w:rPr>
      <w:b/>
      <w:sz w:val="19"/>
    </w:rPr>
  </w:style>
  <w:style w:type="paragraph" w:styleId="Header">
    <w:name w:val="header"/>
    <w:basedOn w:val="Normal"/>
    <w:link w:val="SidhuvudChar"/>
    <w:uiPriority w:val="99"/>
    <w:unhideWhenUsed/>
    <w:rsid w:val="00851CED"/>
    <w:pPr>
      <w:tabs>
        <w:tab w:val="center" w:pos="4536"/>
        <w:tab w:val="right" w:pos="9072"/>
      </w:tabs>
      <w:spacing w:after="120"/>
    </w:pPr>
    <w:rPr>
      <w:rFonts w:asciiTheme="majorHAnsi" w:eastAsiaTheme="minorHAnsi" w:hAnsiTheme="majorHAnsi" w:cstheme="minorBidi"/>
      <w:sz w:val="14"/>
      <w:szCs w:val="21"/>
      <w:lang w:val="sv-SE"/>
    </w:rPr>
  </w:style>
  <w:style w:type="character" w:customStyle="1" w:styleId="Nr-Rubrik2Char">
    <w:name w:val="Nr-Rubrik2 Char"/>
    <w:basedOn w:val="Nr-Rubrik1Char"/>
    <w:link w:val="Nr-Rubrik2"/>
    <w:uiPriority w:val="1"/>
    <w:rsid w:val="00735BA1"/>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735BA1"/>
    <w:rPr>
      <w:rFonts w:asciiTheme="majorHAnsi" w:eastAsiaTheme="majorEastAsia" w:hAnsiTheme="majorHAnsi" w:cstheme="majorBidi"/>
      <w:b/>
      <w:sz w:val="19"/>
      <w:szCs w:val="24"/>
    </w:rPr>
  </w:style>
  <w:style w:type="character" w:customStyle="1" w:styleId="SidhuvudChar">
    <w:name w:val="Sidhuvud Char"/>
    <w:basedOn w:val="DefaultParagraphFont"/>
    <w:link w:val="Header"/>
    <w:uiPriority w:val="99"/>
    <w:rsid w:val="00851CED"/>
    <w:rPr>
      <w:rFonts w:asciiTheme="majorHAnsi" w:hAnsiTheme="majorHAnsi"/>
      <w:sz w:val="14"/>
    </w:rPr>
  </w:style>
  <w:style w:type="paragraph" w:styleId="Footer">
    <w:name w:val="footer"/>
    <w:basedOn w:val="Normal"/>
    <w:link w:val="SidfotChar"/>
    <w:uiPriority w:val="99"/>
    <w:unhideWhenUsed/>
    <w:rsid w:val="003A21B1"/>
    <w:pPr>
      <w:tabs>
        <w:tab w:val="center" w:pos="4536"/>
        <w:tab w:val="right" w:pos="9072"/>
      </w:tabs>
      <w:spacing w:line="210" w:lineRule="atLeast"/>
    </w:pPr>
    <w:rPr>
      <w:rFonts w:asciiTheme="majorHAnsi" w:eastAsiaTheme="minorHAnsi" w:hAnsiTheme="majorHAnsi" w:cstheme="minorBidi"/>
      <w:caps/>
      <w:sz w:val="13"/>
      <w:szCs w:val="21"/>
      <w:lang w:val="sv-SE"/>
    </w:rPr>
  </w:style>
  <w:style w:type="character" w:customStyle="1" w:styleId="SidfotChar">
    <w:name w:val="Sidfot Char"/>
    <w:basedOn w:val="DefaultParagraphFont"/>
    <w:link w:val="Footer"/>
    <w:uiPriority w:val="99"/>
    <w:rsid w:val="003A21B1"/>
    <w:rPr>
      <w:rFonts w:asciiTheme="majorHAnsi" w:hAnsiTheme="majorHAnsi"/>
      <w:caps/>
      <w:sz w:val="13"/>
    </w:rPr>
  </w:style>
  <w:style w:type="paragraph" w:customStyle="1" w:styleId="Styckenr11">
    <w:name w:val="Styckenr 1.1"/>
    <w:basedOn w:val="Nr-Rubrik2"/>
    <w:uiPriority w:val="1"/>
    <w:qFormat/>
    <w:rsid w:val="00A83531"/>
    <w:pPr>
      <w:keepNext w:val="0"/>
      <w:outlineLvl w:val="9"/>
    </w:pPr>
    <w:rPr>
      <w:rFonts w:asciiTheme="minorHAnsi" w:hAnsiTheme="minorHAnsi"/>
      <w:b w:val="0"/>
      <w:sz w:val="21"/>
    </w:rPr>
  </w:style>
  <w:style w:type="paragraph" w:customStyle="1" w:styleId="Styckenr111">
    <w:name w:val="Styckenr 1.1.1"/>
    <w:basedOn w:val="Nr-Rubrik3"/>
    <w:uiPriority w:val="1"/>
    <w:qFormat/>
    <w:rsid w:val="00A83531"/>
    <w:pPr>
      <w:keepNext w:val="0"/>
      <w:outlineLvl w:val="9"/>
    </w:pPr>
    <w:rPr>
      <w:rFonts w:asciiTheme="minorHAnsi" w:hAnsiTheme="minorHAnsi"/>
      <w:b w:val="0"/>
      <w:sz w:val="21"/>
    </w:rPr>
  </w:style>
  <w:style w:type="paragraph" w:customStyle="1" w:styleId="Nr-Rubrik4">
    <w:name w:val="Nr-Rubrik4"/>
    <w:basedOn w:val="Normal"/>
    <w:uiPriority w:val="1"/>
    <w:semiHidden/>
    <w:qFormat/>
    <w:rsid w:val="000B5533"/>
    <w:pPr>
      <w:numPr>
        <w:ilvl w:val="3"/>
        <w:numId w:val="27"/>
      </w:numPr>
      <w:spacing w:after="120" w:line="280" w:lineRule="atLeast"/>
    </w:pPr>
    <w:rPr>
      <w:rFonts w:asciiTheme="majorHAnsi" w:eastAsiaTheme="minorHAnsi" w:hAnsiTheme="majorHAnsi" w:cstheme="minorBidi"/>
      <w:b/>
      <w:sz w:val="19"/>
      <w:szCs w:val="21"/>
      <w:lang w:val="sv-SE"/>
    </w:rPr>
  </w:style>
  <w:style w:type="paragraph" w:customStyle="1" w:styleId="a-lista">
    <w:name w:val="a-lista"/>
    <w:basedOn w:val="Normal"/>
    <w:uiPriority w:val="9"/>
    <w:qFormat/>
    <w:rsid w:val="00360D5F"/>
    <w:pPr>
      <w:numPr>
        <w:ilvl w:val="7"/>
        <w:numId w:val="27"/>
      </w:numPr>
      <w:spacing w:after="120" w:line="280" w:lineRule="atLeast"/>
      <w:ind w:left="1417" w:hanging="510"/>
    </w:pPr>
    <w:rPr>
      <w:rFonts w:asciiTheme="minorHAnsi" w:eastAsiaTheme="minorHAnsi" w:hAnsiTheme="minorHAnsi" w:cstheme="minorBidi"/>
      <w:sz w:val="21"/>
      <w:szCs w:val="21"/>
      <w:lang w:val="sv-SE"/>
    </w:rPr>
  </w:style>
  <w:style w:type="paragraph" w:customStyle="1" w:styleId="i-lista">
    <w:name w:val="i-lista"/>
    <w:basedOn w:val="Normal"/>
    <w:uiPriority w:val="3"/>
    <w:qFormat/>
    <w:rsid w:val="00360D5F"/>
    <w:pPr>
      <w:numPr>
        <w:ilvl w:val="8"/>
        <w:numId w:val="27"/>
      </w:numPr>
      <w:spacing w:after="120" w:line="280" w:lineRule="atLeast"/>
    </w:pPr>
    <w:rPr>
      <w:rFonts w:asciiTheme="minorHAnsi" w:eastAsiaTheme="minorHAnsi" w:hAnsiTheme="minorHAnsi" w:cstheme="minorBidi"/>
      <w:sz w:val="21"/>
      <w:szCs w:val="21"/>
      <w:lang w:val="sv-SE"/>
    </w:rPr>
  </w:style>
  <w:style w:type="paragraph" w:styleId="NormalIndent">
    <w:name w:val="Normal Indent"/>
    <w:basedOn w:val="Normal"/>
    <w:qFormat/>
    <w:rsid w:val="00EA5064"/>
    <w:pPr>
      <w:spacing w:after="120" w:line="280" w:lineRule="atLeast"/>
      <w:ind w:left="907"/>
    </w:pPr>
    <w:rPr>
      <w:rFonts w:asciiTheme="minorHAnsi" w:eastAsiaTheme="minorHAnsi" w:hAnsiTheme="minorHAnsi" w:cstheme="minorBidi"/>
      <w:sz w:val="21"/>
      <w:szCs w:val="21"/>
      <w:lang w:val="sv-SE"/>
    </w:rPr>
  </w:style>
  <w:style w:type="character" w:customStyle="1" w:styleId="Rubrik1Char">
    <w:name w:val="Rubrik 1 Char"/>
    <w:basedOn w:val="DefaultParagraphFont"/>
    <w:link w:val="Heading1"/>
    <w:uiPriority w:val="9"/>
    <w:semiHidden/>
    <w:rsid w:val="000A0218"/>
    <w:rPr>
      <w:rFonts w:asciiTheme="majorHAnsi" w:eastAsiaTheme="majorEastAsia" w:hAnsiTheme="majorHAnsi" w:cstheme="majorBidi"/>
      <w:b/>
      <w:sz w:val="21"/>
      <w:szCs w:val="32"/>
    </w:rPr>
  </w:style>
  <w:style w:type="character" w:customStyle="1" w:styleId="Rubrik2Char">
    <w:name w:val="Rubrik 2 Char"/>
    <w:basedOn w:val="DefaultParagraphFont"/>
    <w:link w:val="Heading2"/>
    <w:uiPriority w:val="9"/>
    <w:semiHidden/>
    <w:rsid w:val="000A0218"/>
    <w:rPr>
      <w:rFonts w:asciiTheme="majorHAnsi" w:eastAsiaTheme="majorEastAsia" w:hAnsiTheme="majorHAnsi" w:cstheme="majorBidi"/>
      <w:b/>
      <w:sz w:val="20"/>
      <w:szCs w:val="26"/>
    </w:rPr>
  </w:style>
  <w:style w:type="character" w:customStyle="1" w:styleId="Rubrik3Char">
    <w:name w:val="Rubrik 3 Char"/>
    <w:basedOn w:val="DefaultParagraphFont"/>
    <w:link w:val="Heading3"/>
    <w:uiPriority w:val="9"/>
    <w:semiHidden/>
    <w:rsid w:val="00687D67"/>
    <w:rPr>
      <w:rFonts w:asciiTheme="majorHAnsi" w:eastAsiaTheme="majorEastAsia" w:hAnsiTheme="majorHAnsi" w:cstheme="majorBidi"/>
      <w:sz w:val="20"/>
      <w:szCs w:val="24"/>
    </w:rPr>
  </w:style>
  <w:style w:type="numbering" w:customStyle="1" w:styleId="Setterwallsnumrering">
    <w:name w:val="Setterwalls numrering"/>
    <w:uiPriority w:val="99"/>
    <w:rsid w:val="000B5533"/>
    <w:pPr>
      <w:numPr>
        <w:numId w:val="3"/>
      </w:numPr>
    </w:pPr>
  </w:style>
  <w:style w:type="paragraph" w:styleId="ListParagraph">
    <w:name w:val="List Paragraph"/>
    <w:basedOn w:val="Normal"/>
    <w:uiPriority w:val="34"/>
    <w:semiHidden/>
    <w:qFormat/>
    <w:rsid w:val="00722C0E"/>
    <w:pPr>
      <w:spacing w:after="120" w:line="280" w:lineRule="atLeast"/>
      <w:ind w:left="720"/>
      <w:contextualSpacing/>
    </w:pPr>
    <w:rPr>
      <w:rFonts w:asciiTheme="minorHAnsi" w:eastAsiaTheme="minorHAnsi" w:hAnsiTheme="minorHAnsi" w:cstheme="minorBidi"/>
      <w:sz w:val="21"/>
      <w:szCs w:val="21"/>
      <w:lang w:val="sv-SE"/>
    </w:rPr>
  </w:style>
  <w:style w:type="paragraph" w:styleId="ListNumber">
    <w:name w:val="List Number"/>
    <w:basedOn w:val="Normal"/>
    <w:uiPriority w:val="3"/>
    <w:qFormat/>
    <w:rsid w:val="00FC7718"/>
    <w:pPr>
      <w:numPr>
        <w:numId w:val="31"/>
      </w:numPr>
      <w:spacing w:after="120" w:line="280" w:lineRule="atLeast"/>
    </w:pPr>
    <w:rPr>
      <w:rFonts w:asciiTheme="minorHAnsi" w:eastAsiaTheme="minorHAnsi" w:hAnsiTheme="minorHAnsi" w:cstheme="minorBidi"/>
      <w:sz w:val="21"/>
      <w:szCs w:val="21"/>
      <w:lang w:val="sv-SE"/>
    </w:rPr>
  </w:style>
  <w:style w:type="paragraph" w:styleId="TOC1">
    <w:name w:val="toc 1"/>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b/>
      <w:sz w:val="21"/>
      <w:szCs w:val="21"/>
      <w:lang w:val="sv-SE"/>
    </w:rPr>
  </w:style>
  <w:style w:type="paragraph" w:styleId="TOC2">
    <w:name w:val="toc 2"/>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sz w:val="21"/>
      <w:szCs w:val="21"/>
      <w:lang w:val="sv-SE"/>
    </w:rPr>
  </w:style>
  <w:style w:type="paragraph" w:styleId="TOC3">
    <w:name w:val="toc 3"/>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sz w:val="21"/>
      <w:szCs w:val="21"/>
      <w:lang w:val="sv-SE"/>
    </w:rPr>
  </w:style>
  <w:style w:type="character" w:styleId="Hyperlink">
    <w:name w:val="Hyperlink"/>
    <w:basedOn w:val="DefaultParagraphFont"/>
    <w:uiPriority w:val="99"/>
    <w:unhideWhenUsed/>
    <w:rsid w:val="00687D67"/>
    <w:rPr>
      <w:color w:val="0563C1" w:themeColor="hyperlink"/>
      <w:u w:val="single"/>
    </w:rPr>
  </w:style>
  <w:style w:type="paragraph" w:styleId="ListBullet">
    <w:name w:val="List Bullet"/>
    <w:basedOn w:val="Normal"/>
    <w:uiPriority w:val="3"/>
    <w:rsid w:val="00F409C3"/>
    <w:pPr>
      <w:numPr>
        <w:numId w:val="7"/>
      </w:numPr>
      <w:tabs>
        <w:tab w:val="clear" w:pos="360"/>
        <w:tab w:val="left" w:pos="1474"/>
      </w:tabs>
      <w:spacing w:after="120" w:line="280" w:lineRule="atLeast"/>
      <w:ind w:left="1474" w:hanging="567"/>
    </w:pPr>
    <w:rPr>
      <w:rFonts w:asciiTheme="minorHAnsi" w:eastAsiaTheme="minorHAnsi" w:hAnsiTheme="minorHAnsi" w:cstheme="minorBidi"/>
      <w:sz w:val="21"/>
      <w:szCs w:val="21"/>
      <w:lang w:val="sv-SE"/>
    </w:rPr>
  </w:style>
  <w:style w:type="character" w:styleId="PlaceholderText">
    <w:name w:val="Placeholder Text"/>
    <w:basedOn w:val="DefaultParagraphFont"/>
    <w:uiPriority w:val="99"/>
    <w:semiHidden/>
    <w:rsid w:val="00D03DEE"/>
    <w:rPr>
      <w:color w:val="808080"/>
    </w:rPr>
  </w:style>
  <w:style w:type="paragraph" w:styleId="Title">
    <w:name w:val="Title"/>
    <w:basedOn w:val="Normal"/>
    <w:next w:val="Normal"/>
    <w:link w:val="RubrikChar"/>
    <w:uiPriority w:val="1"/>
    <w:rsid w:val="003D39D2"/>
    <w:pPr>
      <w:spacing w:after="120" w:line="280" w:lineRule="atLeast"/>
      <w:contextualSpacing/>
    </w:pPr>
    <w:rPr>
      <w:rFonts w:asciiTheme="majorHAnsi" w:eastAsiaTheme="majorEastAsia" w:hAnsiTheme="majorHAnsi" w:cstheme="majorBidi"/>
      <w:b/>
      <w:spacing w:val="-10"/>
      <w:kern w:val="28"/>
      <w:sz w:val="21"/>
      <w:szCs w:val="56"/>
      <w:lang w:val="sv-SE"/>
    </w:rPr>
  </w:style>
  <w:style w:type="character" w:customStyle="1" w:styleId="RubrikChar">
    <w:name w:val="Rubrik Char"/>
    <w:basedOn w:val="DefaultParagraphFont"/>
    <w:link w:val="Title"/>
    <w:uiPriority w:val="1"/>
    <w:rsid w:val="003D39D2"/>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B90537"/>
    <w:pPr>
      <w:spacing w:line="280" w:lineRule="atLeast"/>
    </w:pPr>
    <w:rPr>
      <w:rFonts w:asciiTheme="majorHAnsi" w:eastAsiaTheme="minorHAnsi" w:hAnsiTheme="majorHAnsi" w:cstheme="minorBidi"/>
      <w:sz w:val="20"/>
      <w:szCs w:val="21"/>
      <w:lang w:val="sv-SE"/>
    </w:rPr>
  </w:style>
  <w:style w:type="paragraph" w:styleId="Quote">
    <w:name w:val="Quote"/>
    <w:basedOn w:val="Normal"/>
    <w:next w:val="Normal"/>
    <w:link w:val="CitatChar"/>
    <w:uiPriority w:val="10"/>
    <w:qFormat/>
    <w:rsid w:val="00DA3E62"/>
    <w:pPr>
      <w:spacing w:after="120" w:line="240" w:lineRule="atLeast"/>
      <w:ind w:left="1418" w:right="1418"/>
    </w:pPr>
    <w:rPr>
      <w:rFonts w:asciiTheme="minorHAnsi" w:eastAsiaTheme="minorHAnsi" w:hAnsiTheme="minorHAnsi" w:cstheme="minorBidi"/>
      <w:i/>
      <w:iCs/>
      <w:color w:val="404040" w:themeColor="text1" w:themeTint="BF"/>
      <w:sz w:val="18"/>
      <w:szCs w:val="21"/>
      <w:lang w:val="sv-SE"/>
    </w:rPr>
  </w:style>
  <w:style w:type="character" w:customStyle="1" w:styleId="CitatChar">
    <w:name w:val="Citat Char"/>
    <w:basedOn w:val="DefaultParagraphFont"/>
    <w:link w:val="Quote"/>
    <w:uiPriority w:val="10"/>
    <w:rsid w:val="00DA3E62"/>
    <w:rPr>
      <w:i/>
      <w:iCs/>
      <w:color w:val="404040" w:themeColor="text1" w:themeTint="BF"/>
      <w:sz w:val="18"/>
    </w:rPr>
  </w:style>
  <w:style w:type="table" w:styleId="TableGrid">
    <w:name w:val="Table Grid"/>
    <w:basedOn w:val="TableNormal"/>
    <w:uiPriority w:val="39"/>
    <w:rsid w:val="00663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4D1C38"/>
    <w:rPr>
      <w:rFonts w:asciiTheme="minorHAnsi" w:hAnsiTheme="minorHAnsi"/>
      <w:b w:val="0"/>
      <w:sz w:val="21"/>
    </w:rPr>
  </w:style>
  <w:style w:type="table" w:customStyle="1" w:styleId="Setterwalls1">
    <w:name w:val="Setterwalls 1"/>
    <w:basedOn w:val="TableNormal"/>
    <w:uiPriority w:val="99"/>
    <w:rsid w:val="001424A1"/>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1424A1"/>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C43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1424A1"/>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77553A"/>
    <w:pPr>
      <w:spacing w:after="60" w:line="200" w:lineRule="atLeast"/>
    </w:pPr>
    <w:rPr>
      <w:rFonts w:asciiTheme="minorHAnsi" w:eastAsiaTheme="minorHAnsi" w:hAnsiTheme="minorHAnsi" w:cstheme="minorBidi"/>
      <w:sz w:val="18"/>
      <w:szCs w:val="21"/>
      <w:lang w:val="sv-SE"/>
    </w:rPr>
  </w:style>
  <w:style w:type="paragraph" w:customStyle="1" w:styleId="Dokumentrubrik">
    <w:name w:val="Dokumentrubrik"/>
    <w:basedOn w:val="Normal"/>
    <w:next w:val="Normal"/>
    <w:uiPriority w:val="5"/>
    <w:qFormat/>
    <w:rsid w:val="00DA3E62"/>
    <w:pPr>
      <w:keepNext/>
      <w:spacing w:after="240" w:line="384" w:lineRule="atLeast"/>
    </w:pPr>
    <w:rPr>
      <w:rFonts w:asciiTheme="majorHAnsi" w:eastAsiaTheme="minorHAnsi" w:hAnsiTheme="majorHAnsi" w:cstheme="minorBidi"/>
      <w:b/>
      <w:sz w:val="32"/>
      <w:szCs w:val="21"/>
      <w:lang w:val="sv-SE"/>
    </w:rPr>
  </w:style>
  <w:style w:type="paragraph" w:styleId="FootnoteText">
    <w:name w:val="footnote text"/>
    <w:basedOn w:val="Normal"/>
    <w:link w:val="FotnotstextChar"/>
    <w:uiPriority w:val="99"/>
    <w:semiHidden/>
    <w:unhideWhenUsed/>
    <w:rsid w:val="00CC29C9"/>
    <w:rPr>
      <w:rFonts w:asciiTheme="minorHAnsi" w:eastAsiaTheme="minorHAnsi" w:hAnsiTheme="minorHAnsi" w:cstheme="minorBidi"/>
      <w:sz w:val="16"/>
      <w:szCs w:val="20"/>
      <w:lang w:val="sv-SE"/>
    </w:rPr>
  </w:style>
  <w:style w:type="character" w:customStyle="1" w:styleId="FotnotstextChar">
    <w:name w:val="Fotnotstext Char"/>
    <w:basedOn w:val="DefaultParagraphFont"/>
    <w:link w:val="FootnoteText"/>
    <w:uiPriority w:val="99"/>
    <w:semiHidden/>
    <w:rsid w:val="00CC29C9"/>
    <w:rPr>
      <w:sz w:val="16"/>
      <w:szCs w:val="20"/>
    </w:rPr>
  </w:style>
  <w:style w:type="paragraph" w:customStyle="1" w:styleId="Styckenr1">
    <w:name w:val="Styckenr 1"/>
    <w:basedOn w:val="Nr-Rubrik1"/>
    <w:uiPriority w:val="1"/>
    <w:qFormat/>
    <w:rsid w:val="00A83531"/>
    <w:pPr>
      <w:keepNext w:val="0"/>
      <w:outlineLvl w:val="9"/>
    </w:pPr>
    <w:rPr>
      <w:rFonts w:asciiTheme="minorHAnsi" w:hAnsiTheme="minorHAnsi"/>
      <w:b w:val="0"/>
    </w:rPr>
  </w:style>
  <w:style w:type="numbering" w:customStyle="1" w:styleId="SetterwallsNumreradlista">
    <w:name w:val="Setterwalls Numreradlista"/>
    <w:uiPriority w:val="99"/>
    <w:rsid w:val="00FC7718"/>
    <w:pPr>
      <w:numPr>
        <w:numId w:val="31"/>
      </w:numPr>
    </w:pPr>
  </w:style>
  <w:style w:type="paragraph" w:customStyle="1" w:styleId="Nr-RubrikTabell">
    <w:name w:val="Nr-Rubrik Tabell"/>
    <w:basedOn w:val="Normal"/>
    <w:uiPriority w:val="2"/>
    <w:qFormat/>
    <w:rsid w:val="007C6EC0"/>
    <w:pPr>
      <w:numPr>
        <w:numId w:val="37"/>
      </w:numPr>
      <w:spacing w:before="40" w:after="20" w:line="280" w:lineRule="atLeast"/>
      <w:outlineLvl w:val="0"/>
    </w:pPr>
    <w:rPr>
      <w:rFonts w:asciiTheme="majorHAnsi" w:eastAsiaTheme="minorHAnsi" w:hAnsiTheme="majorHAnsi" w:cstheme="minorBidi"/>
      <w:b/>
      <w:sz w:val="21"/>
      <w:szCs w:val="21"/>
      <w:lang w:val="sv-SE"/>
    </w:rPr>
  </w:style>
  <w:style w:type="paragraph" w:customStyle="1" w:styleId="RubrikTabell">
    <w:name w:val="Rubrik Tabell"/>
    <w:basedOn w:val="Normal"/>
    <w:uiPriority w:val="2"/>
    <w:qFormat/>
    <w:rsid w:val="007C6EC0"/>
    <w:pPr>
      <w:spacing w:before="40" w:after="20" w:line="280" w:lineRule="atLeast"/>
    </w:pPr>
    <w:rPr>
      <w:rFonts w:asciiTheme="majorHAnsi" w:eastAsiaTheme="minorHAnsi" w:hAnsiTheme="majorHAnsi" w:cstheme="minorBidi"/>
      <w:b/>
      <w:sz w:val="21"/>
      <w:szCs w:val="21"/>
      <w:lang w:val="sv-SE"/>
    </w:rPr>
  </w:style>
  <w:style w:type="table" w:customStyle="1" w:styleId="Setterwalls4">
    <w:name w:val="Setterwalls 4"/>
    <w:basedOn w:val="Setterwalls1"/>
    <w:uiPriority w:val="99"/>
    <w:rsid w:val="001424A1"/>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7C6EC0"/>
    <w:pPr>
      <w:numPr>
        <w:numId w:val="33"/>
      </w:numPr>
    </w:pPr>
  </w:style>
  <w:style w:type="paragraph" w:customStyle="1" w:styleId="Styckenr11Tabell">
    <w:name w:val="Styckenr 1.1 Tabell"/>
    <w:basedOn w:val="NormalIndent"/>
    <w:uiPriority w:val="2"/>
    <w:qFormat/>
    <w:rsid w:val="007C6EC0"/>
    <w:pPr>
      <w:numPr>
        <w:ilvl w:val="1"/>
        <w:numId w:val="37"/>
      </w:numPr>
      <w:spacing w:before="40" w:after="20"/>
    </w:pPr>
  </w:style>
  <w:style w:type="character" w:styleId="CommentReference">
    <w:name w:val="annotation reference"/>
    <w:basedOn w:val="DefaultParagraphFont"/>
    <w:uiPriority w:val="99"/>
    <w:semiHidden/>
    <w:unhideWhenUsed/>
    <w:rsid w:val="00233219"/>
    <w:rPr>
      <w:sz w:val="16"/>
      <w:szCs w:val="16"/>
    </w:rPr>
  </w:style>
  <w:style w:type="paragraph" w:styleId="CommentText">
    <w:name w:val="annotation text"/>
    <w:basedOn w:val="Normal"/>
    <w:link w:val="KommentarerChar"/>
    <w:uiPriority w:val="99"/>
    <w:unhideWhenUsed/>
    <w:rsid w:val="00233219"/>
    <w:pPr>
      <w:spacing w:after="200"/>
    </w:pPr>
    <w:rPr>
      <w:rFonts w:asciiTheme="minorHAnsi" w:eastAsiaTheme="minorHAnsi" w:hAnsiTheme="minorHAnsi" w:cstheme="minorBidi"/>
      <w:sz w:val="20"/>
      <w:szCs w:val="20"/>
      <w:lang w:val="sv-SE"/>
    </w:rPr>
  </w:style>
  <w:style w:type="character" w:customStyle="1" w:styleId="KommentarerChar">
    <w:name w:val="Kommentarer Char"/>
    <w:basedOn w:val="DefaultParagraphFont"/>
    <w:link w:val="CommentText"/>
    <w:uiPriority w:val="99"/>
    <w:rsid w:val="00233219"/>
    <w:rPr>
      <w:sz w:val="20"/>
      <w:szCs w:val="20"/>
    </w:rPr>
  </w:style>
  <w:style w:type="paragraph" w:styleId="CommentSubject">
    <w:name w:val="annotation subject"/>
    <w:basedOn w:val="CommentText"/>
    <w:next w:val="CommentText"/>
    <w:link w:val="KommentarsmneChar"/>
    <w:uiPriority w:val="99"/>
    <w:semiHidden/>
    <w:unhideWhenUsed/>
    <w:rsid w:val="000450C0"/>
    <w:pPr>
      <w:spacing w:after="0"/>
    </w:pPr>
    <w:rPr>
      <w:rFonts w:ascii="Calibri" w:eastAsia="Times New Roman" w:hAnsi="Calibri" w:cs="Times New Roman"/>
      <w:b/>
      <w:bCs/>
      <w:lang w:val="en-US"/>
    </w:rPr>
  </w:style>
  <w:style w:type="character" w:customStyle="1" w:styleId="KommentarsmneChar">
    <w:name w:val="Kommentarsämne Char"/>
    <w:basedOn w:val="KommentarerChar"/>
    <w:link w:val="CommentSubject"/>
    <w:uiPriority w:val="99"/>
    <w:semiHidden/>
    <w:rsid w:val="000450C0"/>
    <w:rPr>
      <w:rFonts w:ascii="Calibri" w:eastAsia="Times New Roman" w:hAnsi="Calibri" w:cs="Times New Roman"/>
      <w:b/>
      <w:bCs/>
      <w:sz w:val="20"/>
      <w:szCs w:val="20"/>
      <w:lang w:val="en-US"/>
    </w:rPr>
  </w:style>
  <w:style w:type="character" w:styleId="FootnoteReference">
    <w:name w:val="footnote reference"/>
    <w:basedOn w:val="DefaultParagraphFont"/>
    <w:uiPriority w:val="99"/>
    <w:semiHidden/>
    <w:unhideWhenUsed/>
    <w:rsid w:val="00556DF0"/>
    <w:rPr>
      <w:vertAlign w:val="superscript"/>
    </w:rPr>
  </w:style>
  <w:style w:type="paragraph" w:styleId="Revision">
    <w:name w:val="Revision"/>
    <w:hidden/>
    <w:uiPriority w:val="99"/>
    <w:semiHidden/>
    <w:rsid w:val="00861386"/>
    <w:pPr>
      <w:spacing w:after="0" w:line="240" w:lineRule="auto"/>
    </w:pPr>
    <w:rPr>
      <w:rFonts w:ascii="Calibri" w:eastAsia="Times New Roman" w:hAnsi="Calibri" w:cs="Times New Roman"/>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