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8C5430" w:rsidRPr="008C5430" w:rsidP="008C5430" w14:paraId="4053DF20" w14:textId="329B1602">
      <w:pPr>
        <w:spacing w:after="120" w:line="276" w:lineRule="auto"/>
        <w:jc w:val="both"/>
        <w:rPr>
          <w:rFonts w:eastAsia="Calibri" w:cs="Calibri"/>
          <w:b/>
          <w:sz w:val="24"/>
          <w:lang w:val="sv-SE"/>
        </w:rPr>
      </w:pPr>
      <w:r w:rsidRPr="008C5430">
        <w:rPr>
          <w:rFonts w:eastAsia="Calibri" w:cs="Calibri"/>
          <w:b/>
          <w:sz w:val="24"/>
          <w:lang w:val="sv-SE"/>
        </w:rPr>
        <w:t>Punkt 6 – Styrelsens förslag till beslut om bemyndigande för styrelsen att fatta beslut om emission av aktier, teckningsoptioner och/eller konvertibler</w:t>
      </w:r>
    </w:p>
    <w:p w:rsidR="008C5430" w:rsidRPr="0057213C" w:rsidP="0057213C" w14:paraId="6CA395E1" w14:textId="18BC0063">
      <w:pPr>
        <w:tabs>
          <w:tab w:val="left" w:pos="426"/>
        </w:tabs>
        <w:spacing w:after="120" w:line="276" w:lineRule="auto"/>
        <w:jc w:val="both"/>
        <w:rPr>
          <w:rFonts w:eastAsiaTheme="minorHAnsi" w:cs="Calibri"/>
          <w:bCs/>
          <w:sz w:val="21"/>
          <w:szCs w:val="21"/>
          <w:lang w:val="sv-SE"/>
        </w:rPr>
      </w:pPr>
      <w:r w:rsidRPr="0057213C">
        <w:rPr>
          <w:rFonts w:eastAsiaTheme="minorHAnsi" w:cs="Calibri"/>
          <w:bCs/>
          <w:sz w:val="21"/>
          <w:szCs w:val="21"/>
          <w:lang w:val="sv-SE"/>
        </w:rPr>
        <w:t>Styrelsen föreslår att bolagsstämman beslutar att bemyndiga styrelsen att intill nästa årsstämma vid ett eller flera tillfällen besluta om emission av aktier, teckningsoptioner och/eller konvertibler, med eller utan avvikelse från aktieägares företrädesrätt, till ett antal motsvarande maximalt tjugo (20) procent av det totala antalet aktier i bolaget vid tidpunkten då bemyndigandet utnyttjas första gången, att betalas kontant, genom apport och/eller genom kvittning.</w:t>
      </w:r>
    </w:p>
    <w:p w:rsidR="008C5430" w:rsidRPr="0057213C" w:rsidP="0057213C" w14:paraId="5AB9CEF9" w14:textId="04A36F8D">
      <w:pPr>
        <w:tabs>
          <w:tab w:val="left" w:pos="426"/>
        </w:tabs>
        <w:spacing w:after="120" w:line="276" w:lineRule="auto"/>
        <w:jc w:val="both"/>
        <w:rPr>
          <w:rFonts w:eastAsiaTheme="minorHAnsi" w:cs="Calibri"/>
          <w:bCs/>
          <w:sz w:val="21"/>
          <w:szCs w:val="21"/>
          <w:lang w:val="sv-SE"/>
        </w:rPr>
      </w:pPr>
      <w:r w:rsidRPr="0057213C">
        <w:rPr>
          <w:rFonts w:eastAsiaTheme="minorHAnsi" w:cs="Calibri"/>
          <w:bCs/>
          <w:sz w:val="21"/>
          <w:szCs w:val="21"/>
          <w:lang w:val="sv-SE"/>
        </w:rPr>
        <w:t>Att styrelsen ska kunna fatta beslut om emission utan företrädesrätt för aktieägarna enligt ovan är främst i syfte att kunna anskaffa nytt kapital för att öka bolagets flexibilitet eller i samband med förvärv.</w:t>
      </w:r>
    </w:p>
    <w:p w:rsidR="008C5430" w:rsidRPr="0057213C" w:rsidP="0057213C" w14:paraId="25461893" w14:textId="7FFD0555">
      <w:pPr>
        <w:tabs>
          <w:tab w:val="left" w:pos="426"/>
        </w:tabs>
        <w:spacing w:after="120" w:line="276" w:lineRule="auto"/>
        <w:jc w:val="both"/>
        <w:rPr>
          <w:rFonts w:eastAsiaTheme="minorHAnsi" w:cs="Calibri"/>
          <w:bCs/>
          <w:sz w:val="21"/>
          <w:szCs w:val="21"/>
          <w:lang w:val="sv-SE"/>
        </w:rPr>
      </w:pPr>
      <w:r w:rsidRPr="0057213C">
        <w:rPr>
          <w:rFonts w:eastAsiaTheme="minorHAnsi" w:cs="Calibri"/>
          <w:bCs/>
          <w:sz w:val="21"/>
          <w:szCs w:val="21"/>
          <w:lang w:val="sv-SE"/>
        </w:rPr>
        <w:t>Utgivande av nya aktier, teckningsoptioner eller konvertibler med stöd av bemyndigandet ska genomföras på sedvanliga villkor under rådande marknadsförhållanden. Om styrelsen finner det lämpligt för att möjliggöra leverans av aktier i samband med en emission enligt ovan kan detta göras till ett teckningspris motsvarande aktiernas kvotvärde.</w:t>
      </w:r>
    </w:p>
    <w:p w:rsidR="008C5430" w:rsidRPr="0057213C" w:rsidP="0057213C" w14:paraId="0D298B62" w14:textId="77777777">
      <w:pPr>
        <w:tabs>
          <w:tab w:val="left" w:pos="426"/>
        </w:tabs>
        <w:spacing w:after="120" w:line="276" w:lineRule="auto"/>
        <w:jc w:val="both"/>
        <w:rPr>
          <w:rFonts w:eastAsiaTheme="minorHAnsi" w:cs="Calibri"/>
          <w:bCs/>
          <w:sz w:val="21"/>
          <w:szCs w:val="21"/>
          <w:lang w:val="sv-SE"/>
        </w:rPr>
      </w:pPr>
      <w:r w:rsidRPr="0057213C">
        <w:rPr>
          <w:rFonts w:eastAsiaTheme="minorHAnsi" w:cs="Calibri"/>
          <w:bCs/>
          <w:sz w:val="21"/>
          <w:szCs w:val="21"/>
          <w:lang w:val="sv-SE"/>
        </w:rPr>
        <w:t>Styrelsen, eller den styrelsen anvisar, medges rätten att vidta de justeringar som må behövas i samband med registrering av beslutet hos Bolagsverket.</w:t>
      </w:r>
    </w:p>
    <w:p w:rsidR="00FB7785" w:rsidRPr="00FB7785" w:rsidP="00FB7785" w14:paraId="42C2AF73" w14:textId="21DA171C">
      <w:pPr>
        <w:tabs>
          <w:tab w:val="left" w:pos="426"/>
        </w:tabs>
        <w:spacing w:after="120" w:line="276" w:lineRule="auto"/>
        <w:jc w:val="both"/>
        <w:rPr>
          <w:rFonts w:eastAsiaTheme="minorHAnsi" w:cs="Calibri"/>
          <w:b/>
          <w:sz w:val="21"/>
          <w:szCs w:val="21"/>
          <w:lang w:val="sv-SE"/>
        </w:rPr>
      </w:pPr>
      <w:r w:rsidRPr="00270ECE">
        <w:rPr>
          <w:rFonts w:eastAsiaTheme="minorHAnsi" w:cs="Calibri"/>
          <w:b/>
          <w:sz w:val="21"/>
          <w:szCs w:val="21"/>
          <w:lang w:val="sv-SE"/>
        </w:rPr>
        <w:t>Majoritetsregler</w:t>
      </w:r>
    </w:p>
    <w:p w:rsidR="008C5430" w:rsidRPr="0057213C" w:rsidP="0057213C" w14:paraId="0DD4E920" w14:textId="40CB8425">
      <w:pPr>
        <w:tabs>
          <w:tab w:val="left" w:pos="426"/>
        </w:tabs>
        <w:spacing w:after="120" w:line="276" w:lineRule="auto"/>
        <w:jc w:val="both"/>
        <w:rPr>
          <w:rFonts w:eastAsiaTheme="minorHAnsi" w:cs="Calibri"/>
          <w:bCs/>
          <w:sz w:val="21"/>
          <w:szCs w:val="21"/>
          <w:lang w:val="sv-SE"/>
        </w:rPr>
      </w:pPr>
      <w:r w:rsidRPr="0057213C">
        <w:rPr>
          <w:rFonts w:eastAsiaTheme="minorHAnsi" w:cs="Calibri"/>
          <w:bCs/>
          <w:sz w:val="21"/>
          <w:szCs w:val="21"/>
          <w:lang w:val="sv-SE"/>
        </w:rPr>
        <w:t>För giltigt beslut enligt punkt 6 krävs att beslutet biträds av aktieägare med minst två tredjedelar av såväl de avgivna rösterna som de aktier som är företrädda vid stämman.</w:t>
      </w:r>
    </w:p>
    <w:p w:rsidR="008C5430" w:rsidRPr="00C70D06" w:rsidP="008C5430" w14:paraId="16FF7014" w14:textId="77777777">
      <w:pPr>
        <w:pStyle w:val="NormalIndent"/>
        <w:ind w:left="0"/>
        <w:jc w:val="center"/>
        <w:rPr>
          <w:rFonts w:ascii="Calibri" w:hAnsi="Calibri" w:cs="Calibri"/>
        </w:rPr>
      </w:pPr>
      <w:r w:rsidRPr="00C70D06">
        <w:rPr>
          <w:rFonts w:ascii="Calibri" w:hAnsi="Calibri" w:cs="Calibri"/>
        </w:rPr>
        <w:t>____________________</w:t>
      </w:r>
    </w:p>
    <w:p w:rsidR="008C5430" w:rsidRPr="00C70D06" w:rsidP="008C5430" w14:paraId="607B5BC5" w14:textId="3E5369E9">
      <w:pPr>
        <w:pStyle w:val="NormalIndent"/>
        <w:ind w:left="0"/>
        <w:jc w:val="center"/>
        <w:rPr>
          <w:rFonts w:ascii="Calibri" w:hAnsi="Calibri" w:cs="Calibri"/>
        </w:rPr>
      </w:pPr>
      <w:r w:rsidRPr="00DB21B9">
        <w:rPr>
          <w:rFonts w:ascii="Calibri" w:hAnsi="Calibri" w:cs="Calibri"/>
        </w:rPr>
        <w:t>Stockholm i december 2025</w:t>
      </w:r>
    </w:p>
    <w:p w:rsidR="008C5430" w:rsidRPr="00C70D06" w:rsidP="008C5430" w14:paraId="777C90B8" w14:textId="77777777">
      <w:pPr>
        <w:pStyle w:val="NormalIndent"/>
        <w:ind w:left="0"/>
        <w:jc w:val="center"/>
        <w:rPr>
          <w:rFonts w:ascii="Calibri" w:hAnsi="Calibri" w:cs="Calibri"/>
        </w:rPr>
      </w:pPr>
      <w:r w:rsidRPr="00C70D06">
        <w:rPr>
          <w:rFonts w:ascii="Calibri" w:hAnsi="Calibri" w:cs="Calibri"/>
        </w:rPr>
        <w:t>Styrelsen för Nordrest Holding AB</w:t>
      </w:r>
    </w:p>
    <w:p w:rsidR="008C5430" w14:paraId="45707C93" w14:textId="77777777">
      <w:pPr>
        <w:spacing w:after="120" w:line="280" w:lineRule="atLeast"/>
        <w:rPr>
          <w:rFonts w:eastAsia="Calibri" w:cs="Calibri"/>
          <w:b/>
          <w:sz w:val="24"/>
          <w:lang w:val="sv-SE"/>
        </w:rPr>
      </w:pPr>
      <w:r>
        <w:rPr>
          <w:rFonts w:eastAsia="Calibri" w:cs="Calibri"/>
          <w:b/>
          <w:sz w:val="24"/>
          <w:lang w:val="sv-SE"/>
        </w:rPr>
        <w:br w:type="page"/>
      </w:r>
    </w:p>
    <w:p w:rsidR="00C67431" w:rsidRPr="00C70D06" w:rsidP="00631A8E" w14:paraId="0E863878" w14:textId="72FB015A">
      <w:pPr>
        <w:spacing w:after="120" w:line="276" w:lineRule="auto"/>
        <w:jc w:val="both"/>
        <w:rPr>
          <w:rFonts w:eastAsia="Calibri" w:cs="Calibri"/>
          <w:b/>
          <w:sz w:val="24"/>
          <w:lang w:val="sv-SE"/>
        </w:rPr>
      </w:pPr>
      <w:r w:rsidRPr="00C70D06" w:rsidR="005C6D0C">
        <w:rPr>
          <w:rFonts w:eastAsia="Calibri" w:cs="Calibri"/>
          <w:b/>
          <w:sz w:val="24"/>
          <w:lang w:val="sv-SE"/>
        </w:rPr>
        <w:t>Punkt 7 – Styrelsens förslag till beslut avseende godkännande av närståendetransaktion enligt 16a kap. aktiebolagslagen</w:t>
      </w:r>
    </w:p>
    <w:p w:rsidR="0070232B" w:rsidRPr="0070232B" w:rsidP="0070232B" w14:paraId="3EDFF4CE" w14:textId="77777777">
      <w:pPr>
        <w:tabs>
          <w:tab w:val="left" w:pos="426"/>
        </w:tabs>
        <w:spacing w:after="120" w:line="276" w:lineRule="auto"/>
        <w:jc w:val="both"/>
        <w:rPr>
          <w:rFonts w:eastAsiaTheme="minorHAnsi" w:cs="Calibri"/>
          <w:bCs/>
          <w:sz w:val="21"/>
          <w:szCs w:val="21"/>
          <w:lang w:val="sv-SE"/>
        </w:rPr>
      </w:pPr>
      <w:r w:rsidRPr="0070232B">
        <w:rPr>
          <w:rFonts w:eastAsiaTheme="minorHAnsi" w:cs="Calibri"/>
          <w:bCs/>
          <w:sz w:val="21"/>
          <w:szCs w:val="21"/>
          <w:lang w:val="sv-SE"/>
        </w:rPr>
        <w:t>Styrelsen föreslår att bolagsstämman beslutar om att godkänna en väsentlig närståendetransaktion mellan Bolaget och Thinc Holding 2 AB, org. nr 556900-1166 (”</w:t>
      </w:r>
      <w:r w:rsidRPr="0070232B">
        <w:rPr>
          <w:rFonts w:eastAsiaTheme="minorHAnsi" w:cs="Calibri"/>
          <w:b/>
          <w:sz w:val="21"/>
          <w:szCs w:val="21"/>
          <w:lang w:val="sv-SE"/>
        </w:rPr>
        <w:t>Thinc</w:t>
      </w:r>
      <w:r w:rsidRPr="0070232B">
        <w:rPr>
          <w:rFonts w:eastAsiaTheme="minorHAnsi" w:cs="Calibri"/>
          <w:bCs/>
          <w:sz w:val="21"/>
          <w:szCs w:val="21"/>
          <w:lang w:val="sv-SE"/>
        </w:rPr>
        <w:t>”), som omfattas av 16a kap. aktiebolagslagen. För beslutet ska följande villkor gälla.</w:t>
      </w:r>
    </w:p>
    <w:p w:rsidR="0070232B" w:rsidRPr="0070232B" w:rsidP="0070232B" w14:paraId="30BF661E" w14:textId="77777777">
      <w:pPr>
        <w:tabs>
          <w:tab w:val="left" w:pos="426"/>
        </w:tabs>
        <w:spacing w:after="120" w:line="276" w:lineRule="auto"/>
        <w:jc w:val="both"/>
        <w:rPr>
          <w:rFonts w:eastAsiaTheme="minorHAnsi" w:cs="Calibri"/>
          <w:bCs/>
          <w:sz w:val="21"/>
          <w:szCs w:val="21"/>
          <w:lang w:val="sv-SE"/>
        </w:rPr>
      </w:pPr>
      <w:r w:rsidRPr="0070232B">
        <w:rPr>
          <w:rFonts w:eastAsiaTheme="minorHAnsi" w:cs="Calibri"/>
          <w:bCs/>
          <w:sz w:val="21"/>
          <w:szCs w:val="21"/>
          <w:lang w:val="sv-SE"/>
        </w:rPr>
        <w:t>Bolaget har den 2 december 2025 ingått ett aktieöverlåtelseavtal med Thinc, SenPh AB, org. nr 559336-4481 och Ljumb AB, org. nr 559477-6956 (tillsammans "</w:t>
      </w:r>
      <w:r w:rsidRPr="0070232B">
        <w:rPr>
          <w:rFonts w:eastAsiaTheme="minorHAnsi" w:cs="Calibri"/>
          <w:b/>
          <w:sz w:val="21"/>
          <w:szCs w:val="21"/>
          <w:lang w:val="sv-SE"/>
        </w:rPr>
        <w:t>Säljarna</w:t>
      </w:r>
      <w:r w:rsidRPr="0070232B">
        <w:rPr>
          <w:rFonts w:eastAsiaTheme="minorHAnsi" w:cs="Calibri"/>
          <w:bCs/>
          <w:sz w:val="21"/>
          <w:szCs w:val="21"/>
          <w:lang w:val="sv-SE"/>
        </w:rPr>
        <w:t>") avseende Bolagets förvärv av samtliga 250 aktier i TD fastighet AB, org. nr 559395-5114 (”</w:t>
      </w:r>
      <w:r w:rsidRPr="0070232B">
        <w:rPr>
          <w:rFonts w:eastAsiaTheme="minorHAnsi" w:cs="Calibri"/>
          <w:b/>
          <w:sz w:val="21"/>
          <w:szCs w:val="21"/>
          <w:lang w:val="sv-SE"/>
        </w:rPr>
        <w:t>TD fastighet</w:t>
      </w:r>
      <w:r w:rsidRPr="0070232B">
        <w:rPr>
          <w:rFonts w:eastAsiaTheme="minorHAnsi" w:cs="Calibri"/>
          <w:bCs/>
          <w:sz w:val="21"/>
          <w:szCs w:val="21"/>
          <w:lang w:val="sv-SE"/>
        </w:rPr>
        <w:t>”).</w:t>
      </w:r>
    </w:p>
    <w:p w:rsidR="0070232B" w:rsidRPr="0070232B" w:rsidP="0070232B" w14:paraId="39BD5A3A" w14:textId="77777777">
      <w:pPr>
        <w:tabs>
          <w:tab w:val="left" w:pos="426"/>
        </w:tabs>
        <w:spacing w:after="120" w:line="276" w:lineRule="auto"/>
        <w:jc w:val="both"/>
        <w:rPr>
          <w:rFonts w:eastAsiaTheme="minorHAnsi" w:cs="Calibri"/>
          <w:bCs/>
          <w:sz w:val="21"/>
          <w:szCs w:val="21"/>
          <w:lang w:val="sv-SE"/>
        </w:rPr>
      </w:pPr>
      <w:r w:rsidRPr="0070232B">
        <w:rPr>
          <w:rFonts w:eastAsiaTheme="minorHAnsi" w:cs="Calibri"/>
          <w:bCs/>
          <w:sz w:val="21"/>
          <w:szCs w:val="21"/>
          <w:lang w:val="sv-SE"/>
        </w:rPr>
        <w:t>Thinc, dvs. en av Säljarna, kontrolleras och ägs av Thomas Dahlstedt som även är styrelseledamot och verkställande direktör i Bolaget. Thomas Dahlstedt är därmed indirekt säljare av aktierna i TD fastighet samt att betrakta som närstående till Bolaget. Bolagets förvärv av TD fastighet från Thinc omfattas följaktligen av 16a kap. aktiebolagslagen.</w:t>
      </w:r>
    </w:p>
    <w:p w:rsidR="00B44148" w:rsidRPr="00270ECE" w:rsidP="0070232B" w14:paraId="73675721" w14:textId="5222936E">
      <w:pPr>
        <w:tabs>
          <w:tab w:val="left" w:pos="426"/>
        </w:tabs>
        <w:spacing w:after="120" w:line="276" w:lineRule="auto"/>
        <w:jc w:val="both"/>
        <w:rPr>
          <w:rFonts w:eastAsiaTheme="minorHAnsi" w:cs="Calibri"/>
          <w:bCs/>
          <w:sz w:val="21"/>
          <w:szCs w:val="21"/>
          <w:lang w:val="sv-SE"/>
        </w:rPr>
      </w:pPr>
      <w:r w:rsidRPr="0070232B">
        <w:rPr>
          <w:rFonts w:eastAsiaTheme="minorHAnsi" w:cs="Calibri"/>
          <w:bCs/>
          <w:sz w:val="21"/>
          <w:szCs w:val="21"/>
          <w:lang w:val="sv-SE"/>
        </w:rPr>
        <w:t>Thinc, och indirekt Thomas Dahlstedt, äger cirka 75 procent av aktierna i TD fastighet. Det värde som den närstående förväntas erhålla genom transaktionen uppgår till cirka 63 MSEK. Under förutsättning av bolagstämmans godkännande av närståendetransaktionen, förväntas transaktionen genomföras så snart som möjligt efter bolagsstämmans godkännande.</w:t>
      </w:r>
    </w:p>
    <w:p w:rsidR="00B44148" w:rsidRPr="00270ECE" w:rsidP="00270ECE" w14:paraId="5E8692CF" w14:textId="369971AE">
      <w:pPr>
        <w:tabs>
          <w:tab w:val="left" w:pos="426"/>
        </w:tabs>
        <w:spacing w:after="120" w:line="276" w:lineRule="auto"/>
        <w:jc w:val="both"/>
        <w:rPr>
          <w:rFonts w:eastAsiaTheme="minorHAnsi" w:cs="Calibri"/>
          <w:bCs/>
          <w:sz w:val="21"/>
          <w:szCs w:val="21"/>
          <w:lang w:val="sv-SE"/>
        </w:rPr>
      </w:pPr>
      <w:r w:rsidRPr="00270ECE">
        <w:rPr>
          <w:rFonts w:eastAsiaTheme="minorHAnsi" w:cs="Calibri"/>
          <w:bCs/>
          <w:sz w:val="21"/>
          <w:szCs w:val="21"/>
          <w:lang w:val="sv-SE"/>
        </w:rPr>
        <w:t>Styrelsen i Bolaget har med anledning av förslaget under denna punkt 7 avgett en redogörelse för transaktionen. Redogörelsen framgår av </w:t>
      </w:r>
      <w:r w:rsidRPr="00270ECE">
        <w:rPr>
          <w:rFonts w:eastAsiaTheme="minorHAnsi" w:cs="Calibri"/>
          <w:b/>
          <w:sz w:val="21"/>
          <w:szCs w:val="21"/>
          <w:lang w:val="sv-SE"/>
        </w:rPr>
        <w:t>bilaga 7a</w:t>
      </w:r>
      <w:r w:rsidRPr="00270ECE">
        <w:rPr>
          <w:rFonts w:eastAsiaTheme="minorHAnsi" w:cs="Calibri"/>
          <w:bCs/>
          <w:sz w:val="21"/>
          <w:szCs w:val="21"/>
          <w:lang w:val="sv-SE"/>
        </w:rPr>
        <w:t xml:space="preserve">. </w:t>
      </w:r>
    </w:p>
    <w:p w:rsidR="00B44148" w:rsidRPr="00270ECE" w:rsidP="00270ECE" w14:paraId="6BBAF8EC" w14:textId="03041964">
      <w:pPr>
        <w:tabs>
          <w:tab w:val="left" w:pos="426"/>
        </w:tabs>
        <w:spacing w:after="120" w:line="276" w:lineRule="auto"/>
        <w:jc w:val="both"/>
        <w:rPr>
          <w:rFonts w:eastAsiaTheme="minorHAnsi" w:cs="Calibri"/>
          <w:bCs/>
          <w:sz w:val="21"/>
          <w:szCs w:val="21"/>
          <w:lang w:val="sv-SE"/>
        </w:rPr>
      </w:pPr>
      <w:r w:rsidRPr="00270ECE">
        <w:rPr>
          <w:rFonts w:eastAsiaTheme="minorHAnsi" w:cs="Calibri"/>
          <w:bCs/>
          <w:sz w:val="21"/>
          <w:szCs w:val="21"/>
          <w:lang w:val="sv-SE"/>
        </w:rPr>
        <w:t>Vid bolagsstämmans beslut i fråga om godkännande av en närståendetransaktion ska aktier som innehas av den närstående inte beaktas.</w:t>
      </w:r>
    </w:p>
    <w:p w:rsidR="000B48AB" w:rsidRPr="00270ECE" w:rsidP="00270ECE" w14:paraId="6ED4187A" w14:textId="10D4EDDD">
      <w:pPr>
        <w:tabs>
          <w:tab w:val="left" w:pos="426"/>
        </w:tabs>
        <w:spacing w:after="120" w:line="276" w:lineRule="auto"/>
        <w:jc w:val="both"/>
        <w:rPr>
          <w:rFonts w:eastAsiaTheme="minorHAnsi" w:cs="Calibri"/>
          <w:b/>
          <w:sz w:val="21"/>
          <w:szCs w:val="21"/>
          <w:lang w:val="sv-SE"/>
        </w:rPr>
      </w:pPr>
      <w:r w:rsidRPr="00270ECE">
        <w:rPr>
          <w:rFonts w:eastAsiaTheme="minorHAnsi" w:cs="Calibri"/>
          <w:b/>
          <w:sz w:val="21"/>
          <w:szCs w:val="21"/>
          <w:lang w:val="sv-SE"/>
        </w:rPr>
        <w:t>Majoritetsregler</w:t>
      </w:r>
    </w:p>
    <w:p w:rsidR="00B44148" w:rsidRPr="00270ECE" w:rsidP="00270ECE" w14:paraId="2B3BEE96" w14:textId="1681630B">
      <w:pPr>
        <w:tabs>
          <w:tab w:val="left" w:pos="426"/>
        </w:tabs>
        <w:spacing w:after="120" w:line="276" w:lineRule="auto"/>
        <w:jc w:val="both"/>
        <w:rPr>
          <w:rFonts w:eastAsiaTheme="minorHAnsi" w:cs="Calibri"/>
          <w:bCs/>
          <w:sz w:val="21"/>
          <w:szCs w:val="21"/>
          <w:lang w:val="sv-SE"/>
        </w:rPr>
      </w:pPr>
      <w:r w:rsidRPr="00270ECE">
        <w:rPr>
          <w:rFonts w:eastAsiaTheme="minorHAnsi" w:cs="Calibri"/>
          <w:bCs/>
          <w:sz w:val="21"/>
          <w:szCs w:val="21"/>
          <w:lang w:val="sv-SE"/>
        </w:rPr>
        <w:t xml:space="preserve">För giltigt beslut enligt punkt 7 krävs att beslutet biträds av aktieägare representerande mer än hälften av de vid stämman angivna rösterna.  </w:t>
      </w:r>
    </w:p>
    <w:p w:rsidR="00C67431" w:rsidRPr="00C70D06" w:rsidP="00C67431" w14:paraId="29716161" w14:textId="77777777">
      <w:pPr>
        <w:pStyle w:val="NormalIndent"/>
        <w:ind w:left="0"/>
        <w:jc w:val="center"/>
        <w:rPr>
          <w:rFonts w:ascii="Calibri" w:hAnsi="Calibri" w:cs="Calibri"/>
        </w:rPr>
      </w:pPr>
      <w:r w:rsidRPr="00C70D06">
        <w:rPr>
          <w:rFonts w:ascii="Calibri" w:hAnsi="Calibri" w:cs="Calibri"/>
        </w:rPr>
        <w:t>____________________</w:t>
      </w:r>
    </w:p>
    <w:p w:rsidR="00C67431" w:rsidRPr="00C70D06" w:rsidP="004A3FD6" w14:paraId="1EB95A95" w14:textId="6E1E0582">
      <w:pPr>
        <w:pStyle w:val="NormalIndent"/>
        <w:ind w:left="0"/>
        <w:jc w:val="center"/>
        <w:rPr>
          <w:rFonts w:ascii="Calibri" w:hAnsi="Calibri" w:cs="Calibri"/>
        </w:rPr>
      </w:pPr>
      <w:r w:rsidRPr="00DB21B9" w:rsidR="008C5430">
        <w:rPr>
          <w:rFonts w:ascii="Calibri" w:hAnsi="Calibri" w:cs="Calibri"/>
        </w:rPr>
        <w:t>Stockholm i december 2025</w:t>
      </w:r>
    </w:p>
    <w:p w:rsidR="00F5414E" w:rsidRPr="00C70D06" w:rsidP="000450C0" w14:paraId="3DE4ADA4" w14:textId="1005BF5A">
      <w:pPr>
        <w:pStyle w:val="NormalIndent"/>
        <w:ind w:left="0"/>
        <w:jc w:val="center"/>
        <w:rPr>
          <w:rFonts w:ascii="Calibri" w:hAnsi="Calibri" w:cs="Calibri"/>
        </w:rPr>
      </w:pPr>
      <w:r w:rsidRPr="00C70D06" w:rsidR="00ED03A1">
        <w:rPr>
          <w:rFonts w:ascii="Calibri" w:hAnsi="Calibri" w:cs="Calibri"/>
        </w:rPr>
        <w:t>Styrelsen för Nordrest Holding AB</w:t>
      </w:r>
    </w:p>
    <w:p w:rsidR="00233219" w:rsidRPr="00C70D06" w:rsidP="00C67431" w14:paraId="339306F2" w14:textId="2A7E5246">
      <w:pPr>
        <w:pStyle w:val="NormalIndent"/>
        <w:ind w:left="0"/>
        <w:jc w:val="center"/>
        <w:rPr>
          <w:rFonts w:ascii="Calibri" w:hAnsi="Calibri" w:cs="Calibri"/>
        </w:rPr>
      </w:pPr>
    </w:p>
    <w:sectPr w:rsidSect="0030559A">
      <w:headerReference w:type="even" r:id="rId4"/>
      <w:headerReference w:type="default" r:id="rId5"/>
      <w:footerReference w:type="even" r:id="rId6"/>
      <w:footerReference w:type="default" r:id="rId7"/>
      <w:headerReference w:type="first" r:id="rId8"/>
      <w:footerReference w:type="first" r:id="rId9"/>
      <w:pgSz w:w="11906" w:h="16838" w:code="9"/>
      <w:pgMar w:top="2013" w:right="1361" w:bottom="2325" w:left="2155" w:header="680"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32B" w14:paraId="59A327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CF5" w:rsidP="007B3CF5" w14:paraId="0FD17BF4" w14:textId="1C0353D2">
    <w:pPr>
      <w:pStyle w:val="Footer"/>
      <w:jc w:val="right"/>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8554085</wp:posOffset>
              </wp:positionV>
              <wp:extent cx="360000" cy="1584000"/>
              <wp:effectExtent l="0" t="0" r="0" b="0"/>
              <wp:wrapNone/>
              <wp:docPr id="883692602"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1A8E" w:rsidRPr="003B751F" w14:textId="02F4ADA6">
                          <w:pPr>
                            <w:rPr>
                              <w:rFonts w:ascii="Arial" w:hAnsi="Arial" w:cs="Arial"/>
                              <w:color w:val="A0A0A0"/>
                              <w:sz w:val="13"/>
                            </w:rPr>
                          </w:pPr>
                          <w:r w:rsidRPr="003B751F">
                            <w:rPr>
                              <w:rFonts w:ascii="Arial" w:hAnsi="Arial" w:cs="Arial"/>
                              <w:color w:val="A0A0A0"/>
                              <w:sz w:val="13"/>
                            </w:rPr>
                            <w:t>SW45579399/3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55pt;margin-left:8.55pt;mso-wrap-distance-bottom:0;mso-wrap-distance-left:9pt;mso-wrap-distance-right:9pt;mso-wrap-distance-top:0;mso-wrap-style:square;position:absolute;visibility:visible;v-text-anchor:top;z-index:251659264" filled="f" stroked="f" strokeweight="0.5pt">
              <v:textbox style="layout-flow:vertical">
                <w:txbxContent>
                  <w:p w:rsidR="00631A8E" w:rsidRPr="003B751F" w14:paraId="64AAB698" w14:textId="02F4ADA6">
                    <w:pPr>
                      <w:rPr>
                        <w:rFonts w:ascii="Arial" w:hAnsi="Arial" w:cs="Arial"/>
                        <w:color w:val="A0A0A0"/>
                        <w:sz w:val="13"/>
                      </w:rPr>
                    </w:pPr>
                    <w:r w:rsidRPr="003B751F">
                      <w:rPr>
                        <w:rFonts w:ascii="Arial" w:hAnsi="Arial" w:cs="Arial"/>
                        <w:color w:val="A0A0A0"/>
                        <w:sz w:val="13"/>
                      </w:rPr>
                      <w:t>SW45579399/3</w:t>
                    </w:r>
                  </w:p>
                </w:txbxContent>
              </v:textbox>
            </v:shape>
          </w:pict>
        </mc:Fallback>
      </mc:AlternateContent>
    </w:r>
    <w:r w:rsidR="007B3CF5">
      <w:rPr>
        <w:sz w:val="20"/>
      </w:rPr>
      <w:fldChar w:fldCharType="begin"/>
    </w:r>
    <w:r w:rsidR="007B3CF5">
      <w:rPr>
        <w:sz w:val="20"/>
      </w:rPr>
      <w:instrText xml:space="preserve"> PAGE  \* Arabic  \* MERGEFORMAT </w:instrText>
    </w:r>
    <w:r w:rsidR="007B3CF5">
      <w:rPr>
        <w:sz w:val="20"/>
      </w:rPr>
      <w:fldChar w:fldCharType="separate"/>
    </w:r>
    <w:r w:rsidR="000753D8">
      <w:rPr>
        <w:noProof/>
        <w:sz w:val="20"/>
      </w:rPr>
      <w:t>2</w:t>
    </w:r>
    <w:r w:rsidR="007B3CF5">
      <w:rPr>
        <w:sz w:val="20"/>
      </w:rPr>
      <w:fldChar w:fldCharType="end"/>
    </w:r>
  </w:p>
  <w:p w:rsidR="00217CB1" w:rsidRPr="007B3CF5" w:rsidP="007B3CF5" w14:paraId="728CFB5B" w14:textId="77777777">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1CF" w:rsidRPr="0030559A" w:rsidP="007E5E8E" w14:paraId="31A01567" w14:textId="77777777">
    <w:pPr>
      <w:pStyle w:val="Footer"/>
    </w:pPr>
    <w:bookmarkStart w:id="0" w:name="Sidfot"/>
    <w:bookmarkEnd w:id="0"/>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32B" w14:paraId="7FE738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32B" w14:paraId="35741F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B8F" w:rsidRPr="00ED03A1" w:rsidP="00ED03A1" w14:paraId="4768E3D2" w14:textId="77777777">
    <w:pPr>
      <w:pStyle w:val="Header"/>
      <w:jc w:val="right"/>
      <w:rPr>
        <w:rFonts w:ascii="Calibri" w:hAnsi="Calibri" w:cs="Calibri"/>
        <w:i/>
        <w:iCs/>
        <w:sz w:val="18"/>
        <w:szCs w:val="18"/>
      </w:rPr>
    </w:pPr>
  </w:p>
  <w:p w:rsidR="00ED03A1" w14:paraId="4295F9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9"/>
    <w:multiLevelType w:val="singleLevel"/>
    <w:tmpl w:val="4A669D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63875"/>
    <w:multiLevelType w:val="hybridMultilevel"/>
    <w:tmpl w:val="FC8AE1BA"/>
    <w:lvl w:ilvl="0">
      <w:start w:val="1"/>
      <w:numFmt w:val="decimal"/>
      <w:lvlText w:val="%1."/>
      <w:lvlJc w:val="left"/>
      <w:pPr>
        <w:ind w:left="36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9A73EA"/>
    <w:multiLevelType w:val="hybridMultilevel"/>
    <w:tmpl w:val="EC588124"/>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3" w15:restartNumberingAfterBreak="0">
    <w:nsid w:val="119B1D4A"/>
    <w:multiLevelType w:val="multilevel"/>
    <w:tmpl w:val="A8321A9A"/>
    <w:lvl w:ilvl="0">
      <w:start w:val="1"/>
      <w:numFmt w:val="lowerLetter"/>
      <w:lvlText w:val="(%1)"/>
      <w:lvlJc w:val="left"/>
      <w:pPr>
        <w:tabs>
          <w:tab w:val="num" w:pos="710"/>
        </w:tabs>
        <w:ind w:left="1277" w:hanging="567"/>
      </w:pPr>
    </w:lvl>
    <w:lvl w:ilvl="1">
      <w:start w:val="1"/>
      <w:numFmt w:val="lowerLetter"/>
      <w:lvlText w:val="%2)"/>
      <w:lvlJc w:val="left"/>
      <w:pPr>
        <w:tabs>
          <w:tab w:val="num" w:pos="710"/>
        </w:tabs>
        <w:ind w:left="1277" w:hanging="567"/>
      </w:pPr>
    </w:lvl>
    <w:lvl w:ilvl="2">
      <w:start w:val="1"/>
      <w:numFmt w:val="lowerRoman"/>
      <w:lvlText w:val="%3)"/>
      <w:lvlJc w:val="left"/>
      <w:pPr>
        <w:tabs>
          <w:tab w:val="num" w:pos="710"/>
        </w:tabs>
        <w:ind w:left="1277" w:hanging="567"/>
      </w:pPr>
    </w:lvl>
    <w:lvl w:ilvl="3">
      <w:start w:val="1"/>
      <w:numFmt w:val="decimal"/>
      <w:lvlText w:val="(%4)"/>
      <w:lvlJc w:val="left"/>
      <w:pPr>
        <w:tabs>
          <w:tab w:val="num" w:pos="710"/>
        </w:tabs>
        <w:ind w:left="1277" w:hanging="567"/>
      </w:pPr>
    </w:lvl>
    <w:lvl w:ilvl="4">
      <w:start w:val="1"/>
      <w:numFmt w:val="lowerLetter"/>
      <w:lvlText w:val="(%5)"/>
      <w:lvlJc w:val="left"/>
      <w:pPr>
        <w:tabs>
          <w:tab w:val="num" w:pos="710"/>
        </w:tabs>
        <w:ind w:left="1277" w:hanging="567"/>
      </w:pPr>
    </w:lvl>
    <w:lvl w:ilvl="5">
      <w:start w:val="1"/>
      <w:numFmt w:val="lowerRoman"/>
      <w:lvlText w:val="(%6)"/>
      <w:lvlJc w:val="left"/>
      <w:pPr>
        <w:tabs>
          <w:tab w:val="num" w:pos="710"/>
        </w:tabs>
        <w:ind w:left="1277" w:hanging="567"/>
      </w:pPr>
    </w:lvl>
    <w:lvl w:ilvl="6">
      <w:start w:val="1"/>
      <w:numFmt w:val="decimal"/>
      <w:lvlText w:val="%7."/>
      <w:lvlJc w:val="left"/>
      <w:pPr>
        <w:tabs>
          <w:tab w:val="num" w:pos="710"/>
        </w:tabs>
        <w:ind w:left="1277" w:hanging="567"/>
      </w:pPr>
    </w:lvl>
    <w:lvl w:ilvl="7">
      <w:start w:val="1"/>
      <w:numFmt w:val="lowerLetter"/>
      <w:lvlText w:val="%8."/>
      <w:lvlJc w:val="left"/>
      <w:pPr>
        <w:tabs>
          <w:tab w:val="num" w:pos="710"/>
        </w:tabs>
        <w:ind w:left="1277" w:hanging="567"/>
      </w:pPr>
    </w:lvl>
    <w:lvl w:ilvl="8">
      <w:start w:val="1"/>
      <w:numFmt w:val="lowerRoman"/>
      <w:lvlText w:val="%9."/>
      <w:lvlJc w:val="left"/>
      <w:pPr>
        <w:tabs>
          <w:tab w:val="num" w:pos="710"/>
        </w:tabs>
        <w:ind w:left="1277" w:hanging="567"/>
      </w:pPr>
    </w:lvl>
  </w:abstractNum>
  <w:abstractNum w:abstractNumId="4" w15:restartNumberingAfterBreak="0">
    <w:nsid w:val="13892321"/>
    <w:multiLevelType w:val="multilevel"/>
    <w:tmpl w:val="08B45568"/>
    <w:numStyleLink w:val="SetterwallsTabellnumrering"/>
  </w:abstractNum>
  <w:abstractNum w:abstractNumId="5" w15:restartNumberingAfterBreak="0">
    <w:nsid w:val="55AB3979"/>
    <w:multiLevelType w:val="hybridMultilevel"/>
    <w:tmpl w:val="92F8B082"/>
    <w:lvl w:ilvl="0">
      <w:start w:val="1"/>
      <w:numFmt w:val="decimal"/>
      <w:lvlText w:val="%1."/>
      <w:lvlJc w:val="left"/>
      <w:pPr>
        <w:ind w:left="360" w:hanging="360"/>
      </w:pPr>
      <w:rPr>
        <w:rFonts w:hint="default"/>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6" w15:restartNumberingAfterBreak="0">
    <w:nsid w:val="55C000B1"/>
    <w:multiLevelType w:val="hybridMultilevel"/>
    <w:tmpl w:val="416ADF2C"/>
    <w:lvl w:ilvl="0">
      <w:start w:val="1"/>
      <w:numFmt w:val="decimal"/>
      <w:lvlText w:val="%1."/>
      <w:lvlJc w:val="left"/>
      <w:pPr>
        <w:ind w:left="360" w:hanging="360"/>
      </w:pPr>
      <w:rPr>
        <w:rFonts w:asciiTheme="minorHAnsi" w:eastAsiaTheme="minorHAnsi"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1A596C"/>
    <w:multiLevelType w:val="hybridMultilevel"/>
    <w:tmpl w:val="7616B2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854686E"/>
    <w:multiLevelType w:val="multilevel"/>
    <w:tmpl w:val="6EA8B096"/>
    <w:lvl w:ilvl="0">
      <w:start w:val="1"/>
      <w:numFmt w:val="decimal"/>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F96BB6"/>
    <w:multiLevelType w:val="multilevel"/>
    <w:tmpl w:val="D5F84B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11" w15:restartNumberingAfterBreak="0">
    <w:nsid w:val="664B0F8A"/>
    <w:multiLevelType w:val="multilevel"/>
    <w:tmpl w:val="08B45568"/>
    <w:styleLink w:val="SetterwallsTabellnumrering"/>
    <w:lvl w:ilvl="0">
      <w:start w:val="1"/>
      <w:numFmt w:val="decimal"/>
      <w:pStyle w:val="Nr-RubrikTabell"/>
      <w:lvlText w:val="%1."/>
      <w:lvlJc w:val="left"/>
      <w:pPr>
        <w:tabs>
          <w:tab w:val="num" w:pos="510"/>
        </w:tabs>
        <w:ind w:left="510" w:hanging="510"/>
      </w:pPr>
      <w:rPr>
        <w:rFonts w:hint="default"/>
      </w:rPr>
    </w:lvl>
    <w:lvl w:ilvl="1">
      <w:start w:val="1"/>
      <w:numFmt w:val="decimal"/>
      <w:pStyle w:val="Styckenr11Tabell"/>
      <w:lvlText w:val="%1.%2"/>
      <w:lvlJc w:val="left"/>
      <w:pPr>
        <w:tabs>
          <w:tab w:val="num" w:pos="510"/>
        </w:tabs>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A206D0"/>
    <w:multiLevelType w:val="multilevel"/>
    <w:tmpl w:val="A7641D30"/>
    <w:numStyleLink w:val="Setterwallsnumrering"/>
  </w:abstractNum>
  <w:abstractNum w:abstractNumId="13" w15:restartNumberingAfterBreak="0">
    <w:nsid w:val="6BD81CBE"/>
    <w:multiLevelType w:val="multilevel"/>
    <w:tmpl w:val="324CE050"/>
    <w:styleLink w:val="SetterwallsNumreradlista"/>
    <w:lvl w:ilvl="0">
      <w:start w:val="1"/>
      <w:numFmt w:val="decimal"/>
      <w:pStyle w:val="ListNumber"/>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EA76AF"/>
    <w:multiLevelType w:val="multilevel"/>
    <w:tmpl w:val="08B45568"/>
    <w:numStyleLink w:val="SetterwallsTabellnumrering"/>
  </w:abstractNum>
  <w:num w:numId="1" w16cid:durableId="2111461019">
    <w:abstractNumId w:val="9"/>
  </w:num>
  <w:num w:numId="2" w16cid:durableId="941690154">
    <w:abstractNumId w:val="9"/>
  </w:num>
  <w:num w:numId="3" w16cid:durableId="1002315222">
    <w:abstractNumId w:val="10"/>
  </w:num>
  <w:num w:numId="4" w16cid:durableId="1336300787">
    <w:abstractNumId w:val="9"/>
  </w:num>
  <w:num w:numId="5" w16cid:durableId="1710495467">
    <w:abstractNumId w:val="9"/>
  </w:num>
  <w:num w:numId="6" w16cid:durableId="1662076930">
    <w:abstractNumId w:val="9"/>
  </w:num>
  <w:num w:numId="7" w16cid:durableId="279529478">
    <w:abstractNumId w:val="0"/>
  </w:num>
  <w:num w:numId="8" w16cid:durableId="426728719">
    <w:abstractNumId w:val="9"/>
  </w:num>
  <w:num w:numId="9" w16cid:durableId="1940526284">
    <w:abstractNumId w:val="9"/>
  </w:num>
  <w:num w:numId="10" w16cid:durableId="100876184">
    <w:abstractNumId w:val="9"/>
  </w:num>
  <w:num w:numId="11" w16cid:durableId="73405018">
    <w:abstractNumId w:val="5"/>
  </w:num>
  <w:num w:numId="12" w16cid:durableId="671837652">
    <w:abstractNumId w:val="9"/>
  </w:num>
  <w:num w:numId="13" w16cid:durableId="1503547629">
    <w:abstractNumId w:val="12"/>
  </w:num>
  <w:num w:numId="14" w16cid:durableId="966466736">
    <w:abstractNumId w:val="12"/>
  </w:num>
  <w:num w:numId="15" w16cid:durableId="1326787406">
    <w:abstractNumId w:val="12"/>
  </w:num>
  <w:num w:numId="16" w16cid:durableId="1727023128">
    <w:abstractNumId w:val="12"/>
  </w:num>
  <w:num w:numId="17" w16cid:durableId="245921752">
    <w:abstractNumId w:val="12"/>
  </w:num>
  <w:num w:numId="18" w16cid:durableId="865870051">
    <w:abstractNumId w:val="12"/>
  </w:num>
  <w:num w:numId="19" w16cid:durableId="1799376214">
    <w:abstractNumId w:val="12"/>
  </w:num>
  <w:num w:numId="20" w16cid:durableId="1849713597">
    <w:abstractNumId w:val="12"/>
  </w:num>
  <w:num w:numId="21" w16cid:durableId="795761060">
    <w:abstractNumId w:val="5"/>
  </w:num>
  <w:num w:numId="22" w16cid:durableId="947279531">
    <w:abstractNumId w:val="12"/>
  </w:num>
  <w:num w:numId="23" w16cid:durableId="1833907221">
    <w:abstractNumId w:val="12"/>
  </w:num>
  <w:num w:numId="24" w16cid:durableId="2085713231">
    <w:abstractNumId w:val="12"/>
  </w:num>
  <w:num w:numId="25" w16cid:durableId="645622880">
    <w:abstractNumId w:val="12"/>
  </w:num>
  <w:num w:numId="26" w16cid:durableId="317000470">
    <w:abstractNumId w:val="12"/>
  </w:num>
  <w:num w:numId="27" w16cid:durableId="1075127488">
    <w:abstractNumId w:val="12"/>
  </w:num>
  <w:num w:numId="28" w16cid:durableId="1445884868">
    <w:abstractNumId w:val="5"/>
  </w:num>
  <w:num w:numId="29" w16cid:durableId="1896694169">
    <w:abstractNumId w:val="5"/>
  </w:num>
  <w:num w:numId="30" w16cid:durableId="2090887340">
    <w:abstractNumId w:val="8"/>
  </w:num>
  <w:num w:numId="31" w16cid:durableId="2068796939">
    <w:abstractNumId w:val="13"/>
  </w:num>
  <w:num w:numId="32" w16cid:durableId="1756124362">
    <w:abstractNumId w:val="4"/>
  </w:num>
  <w:num w:numId="33" w16cid:durableId="264729801">
    <w:abstractNumId w:val="11"/>
  </w:num>
  <w:num w:numId="34" w16cid:durableId="71513187">
    <w:abstractNumId w:val="4"/>
  </w:num>
  <w:num w:numId="35" w16cid:durableId="997272422">
    <w:abstractNumId w:val="14"/>
  </w:num>
  <w:num w:numId="36" w16cid:durableId="924266173">
    <w:abstractNumId w:val="11"/>
  </w:num>
  <w:num w:numId="37" w16cid:durableId="2009408559">
    <w:abstractNumId w:val="14"/>
  </w:num>
  <w:num w:numId="38" w16cid:durableId="171067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8370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249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34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7548832">
    <w:abstractNumId w:val="6"/>
  </w:num>
  <w:num w:numId="43" w16cid:durableId="994603723">
    <w:abstractNumId w:val="2"/>
  </w:num>
  <w:num w:numId="44" w16cid:durableId="188922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3B"/>
    <w:rsid w:val="00006073"/>
    <w:rsid w:val="000211D5"/>
    <w:rsid w:val="00024121"/>
    <w:rsid w:val="00031DC0"/>
    <w:rsid w:val="000450C0"/>
    <w:rsid w:val="000577D7"/>
    <w:rsid w:val="00071BEE"/>
    <w:rsid w:val="000753D8"/>
    <w:rsid w:val="0008285D"/>
    <w:rsid w:val="00085DE6"/>
    <w:rsid w:val="000A0218"/>
    <w:rsid w:val="000A28F6"/>
    <w:rsid w:val="000B48AB"/>
    <w:rsid w:val="000D1CED"/>
    <w:rsid w:val="000D606E"/>
    <w:rsid w:val="00104FD0"/>
    <w:rsid w:val="00113809"/>
    <w:rsid w:val="001169EC"/>
    <w:rsid w:val="001364B7"/>
    <w:rsid w:val="001424A1"/>
    <w:rsid w:val="00163247"/>
    <w:rsid w:val="0017679D"/>
    <w:rsid w:val="00177A7E"/>
    <w:rsid w:val="001812A7"/>
    <w:rsid w:val="001A4F66"/>
    <w:rsid w:val="001A6602"/>
    <w:rsid w:val="001D397E"/>
    <w:rsid w:val="001E6038"/>
    <w:rsid w:val="001F1F10"/>
    <w:rsid w:val="001F4C9F"/>
    <w:rsid w:val="002125F8"/>
    <w:rsid w:val="00217CB1"/>
    <w:rsid w:val="00233219"/>
    <w:rsid w:val="002351C9"/>
    <w:rsid w:val="00262D8F"/>
    <w:rsid w:val="00270ECE"/>
    <w:rsid w:val="00271DF4"/>
    <w:rsid w:val="00273A96"/>
    <w:rsid w:val="00273E11"/>
    <w:rsid w:val="00296695"/>
    <w:rsid w:val="002A3709"/>
    <w:rsid w:val="002B467F"/>
    <w:rsid w:val="002C1C3E"/>
    <w:rsid w:val="002C226F"/>
    <w:rsid w:val="002E51DA"/>
    <w:rsid w:val="002E7B8F"/>
    <w:rsid w:val="002F1661"/>
    <w:rsid w:val="002F67E1"/>
    <w:rsid w:val="00301923"/>
    <w:rsid w:val="0030559A"/>
    <w:rsid w:val="00315A07"/>
    <w:rsid w:val="00316C83"/>
    <w:rsid w:val="00325F41"/>
    <w:rsid w:val="003267BB"/>
    <w:rsid w:val="00337415"/>
    <w:rsid w:val="0035224B"/>
    <w:rsid w:val="003558C0"/>
    <w:rsid w:val="00360D5F"/>
    <w:rsid w:val="00371BA8"/>
    <w:rsid w:val="00373704"/>
    <w:rsid w:val="00374D0B"/>
    <w:rsid w:val="003804C2"/>
    <w:rsid w:val="00387B0E"/>
    <w:rsid w:val="003A21B1"/>
    <w:rsid w:val="003B7199"/>
    <w:rsid w:val="003B751F"/>
    <w:rsid w:val="003C4D35"/>
    <w:rsid w:val="003C555E"/>
    <w:rsid w:val="003D39D2"/>
    <w:rsid w:val="00414CB7"/>
    <w:rsid w:val="004549AA"/>
    <w:rsid w:val="00454F89"/>
    <w:rsid w:val="00463F59"/>
    <w:rsid w:val="00470F51"/>
    <w:rsid w:val="00484C4E"/>
    <w:rsid w:val="00485B3E"/>
    <w:rsid w:val="00490E31"/>
    <w:rsid w:val="0049325D"/>
    <w:rsid w:val="00495846"/>
    <w:rsid w:val="004A3FD6"/>
    <w:rsid w:val="004B2586"/>
    <w:rsid w:val="004D1C38"/>
    <w:rsid w:val="004D2149"/>
    <w:rsid w:val="004D246E"/>
    <w:rsid w:val="004E3D39"/>
    <w:rsid w:val="004E6299"/>
    <w:rsid w:val="00517EF3"/>
    <w:rsid w:val="0055045D"/>
    <w:rsid w:val="0055238E"/>
    <w:rsid w:val="00556DF0"/>
    <w:rsid w:val="00564CF5"/>
    <w:rsid w:val="0057213C"/>
    <w:rsid w:val="005826D1"/>
    <w:rsid w:val="00584336"/>
    <w:rsid w:val="005902B0"/>
    <w:rsid w:val="00591A96"/>
    <w:rsid w:val="00591FEC"/>
    <w:rsid w:val="00596AA7"/>
    <w:rsid w:val="0059718F"/>
    <w:rsid w:val="005A4429"/>
    <w:rsid w:val="005B64DD"/>
    <w:rsid w:val="005C2EDF"/>
    <w:rsid w:val="005C6D0C"/>
    <w:rsid w:val="005D776D"/>
    <w:rsid w:val="006008D3"/>
    <w:rsid w:val="00603109"/>
    <w:rsid w:val="00606E8D"/>
    <w:rsid w:val="00606F58"/>
    <w:rsid w:val="0062598D"/>
    <w:rsid w:val="00631A8E"/>
    <w:rsid w:val="00636111"/>
    <w:rsid w:val="00651B78"/>
    <w:rsid w:val="00662863"/>
    <w:rsid w:val="006637B1"/>
    <w:rsid w:val="0066735E"/>
    <w:rsid w:val="00675CAD"/>
    <w:rsid w:val="00685BB7"/>
    <w:rsid w:val="00686580"/>
    <w:rsid w:val="00687D67"/>
    <w:rsid w:val="00694C3B"/>
    <w:rsid w:val="006C207D"/>
    <w:rsid w:val="006C5183"/>
    <w:rsid w:val="006D753B"/>
    <w:rsid w:val="006F24BC"/>
    <w:rsid w:val="0070232B"/>
    <w:rsid w:val="00721C15"/>
    <w:rsid w:val="00722C0E"/>
    <w:rsid w:val="007646C6"/>
    <w:rsid w:val="007764C2"/>
    <w:rsid w:val="00787EAF"/>
    <w:rsid w:val="007A70AE"/>
    <w:rsid w:val="007B1CD1"/>
    <w:rsid w:val="007B3CF5"/>
    <w:rsid w:val="007B73A7"/>
    <w:rsid w:val="007C3FA3"/>
    <w:rsid w:val="007C6EC0"/>
    <w:rsid w:val="007D357F"/>
    <w:rsid w:val="007D63A5"/>
    <w:rsid w:val="007E305F"/>
    <w:rsid w:val="007E5E8E"/>
    <w:rsid w:val="00802368"/>
    <w:rsid w:val="008114C8"/>
    <w:rsid w:val="0082543F"/>
    <w:rsid w:val="00833A26"/>
    <w:rsid w:val="00841C36"/>
    <w:rsid w:val="00851CED"/>
    <w:rsid w:val="00853854"/>
    <w:rsid w:val="00861386"/>
    <w:rsid w:val="00862AB7"/>
    <w:rsid w:val="008634EE"/>
    <w:rsid w:val="008807D5"/>
    <w:rsid w:val="00893062"/>
    <w:rsid w:val="008B108E"/>
    <w:rsid w:val="008B41AA"/>
    <w:rsid w:val="008B4F83"/>
    <w:rsid w:val="008C5430"/>
    <w:rsid w:val="008D3969"/>
    <w:rsid w:val="008D4DB4"/>
    <w:rsid w:val="008D7FCA"/>
    <w:rsid w:val="008E3F3B"/>
    <w:rsid w:val="008F49A9"/>
    <w:rsid w:val="009305BC"/>
    <w:rsid w:val="0095728E"/>
    <w:rsid w:val="00974FB3"/>
    <w:rsid w:val="00987E95"/>
    <w:rsid w:val="009A10EF"/>
    <w:rsid w:val="009A74C2"/>
    <w:rsid w:val="009C1DEB"/>
    <w:rsid w:val="009C3D79"/>
    <w:rsid w:val="009E0233"/>
    <w:rsid w:val="00A0159A"/>
    <w:rsid w:val="00A17F3B"/>
    <w:rsid w:val="00A25FA7"/>
    <w:rsid w:val="00A4062A"/>
    <w:rsid w:val="00A50423"/>
    <w:rsid w:val="00A5272E"/>
    <w:rsid w:val="00A83531"/>
    <w:rsid w:val="00A9117F"/>
    <w:rsid w:val="00A9401A"/>
    <w:rsid w:val="00A9579A"/>
    <w:rsid w:val="00AA21ED"/>
    <w:rsid w:val="00AC7801"/>
    <w:rsid w:val="00AD0EE7"/>
    <w:rsid w:val="00AE31CF"/>
    <w:rsid w:val="00AF23B5"/>
    <w:rsid w:val="00B01549"/>
    <w:rsid w:val="00B16019"/>
    <w:rsid w:val="00B2224B"/>
    <w:rsid w:val="00B35EBC"/>
    <w:rsid w:val="00B44148"/>
    <w:rsid w:val="00B449A7"/>
    <w:rsid w:val="00B64F0D"/>
    <w:rsid w:val="00B66B48"/>
    <w:rsid w:val="00B85A8F"/>
    <w:rsid w:val="00B90537"/>
    <w:rsid w:val="00B92A23"/>
    <w:rsid w:val="00BA0DF7"/>
    <w:rsid w:val="00BA5442"/>
    <w:rsid w:val="00BA66AA"/>
    <w:rsid w:val="00BC089E"/>
    <w:rsid w:val="00BC477E"/>
    <w:rsid w:val="00BC6811"/>
    <w:rsid w:val="00BE2339"/>
    <w:rsid w:val="00C15D8F"/>
    <w:rsid w:val="00C31546"/>
    <w:rsid w:val="00C43874"/>
    <w:rsid w:val="00C51DE8"/>
    <w:rsid w:val="00C60510"/>
    <w:rsid w:val="00C610CA"/>
    <w:rsid w:val="00C665D8"/>
    <w:rsid w:val="00C67431"/>
    <w:rsid w:val="00C70D06"/>
    <w:rsid w:val="00C73EE8"/>
    <w:rsid w:val="00C769A1"/>
    <w:rsid w:val="00C831E5"/>
    <w:rsid w:val="00C923D1"/>
    <w:rsid w:val="00CA3B15"/>
    <w:rsid w:val="00CA7C77"/>
    <w:rsid w:val="00CB1897"/>
    <w:rsid w:val="00CB49AD"/>
    <w:rsid w:val="00CC7D5A"/>
    <w:rsid w:val="00CD1FDA"/>
    <w:rsid w:val="00CE0CA4"/>
    <w:rsid w:val="00CE2C2F"/>
    <w:rsid w:val="00CF2C55"/>
    <w:rsid w:val="00D03DEE"/>
    <w:rsid w:val="00D07509"/>
    <w:rsid w:val="00D25B17"/>
    <w:rsid w:val="00D50E74"/>
    <w:rsid w:val="00D53D6F"/>
    <w:rsid w:val="00D70233"/>
    <w:rsid w:val="00D73461"/>
    <w:rsid w:val="00D85119"/>
    <w:rsid w:val="00DA3E62"/>
    <w:rsid w:val="00DA6E40"/>
    <w:rsid w:val="00DA75DE"/>
    <w:rsid w:val="00DB21B9"/>
    <w:rsid w:val="00DB78EC"/>
    <w:rsid w:val="00DC2E79"/>
    <w:rsid w:val="00DC79DF"/>
    <w:rsid w:val="00DD7363"/>
    <w:rsid w:val="00DF3390"/>
    <w:rsid w:val="00E01703"/>
    <w:rsid w:val="00E32389"/>
    <w:rsid w:val="00E65825"/>
    <w:rsid w:val="00E906FC"/>
    <w:rsid w:val="00EA5064"/>
    <w:rsid w:val="00EB6DC7"/>
    <w:rsid w:val="00ED03A1"/>
    <w:rsid w:val="00F04EA1"/>
    <w:rsid w:val="00F140F2"/>
    <w:rsid w:val="00F2001B"/>
    <w:rsid w:val="00F27CD8"/>
    <w:rsid w:val="00F33027"/>
    <w:rsid w:val="00F33B4D"/>
    <w:rsid w:val="00F4076C"/>
    <w:rsid w:val="00F409C3"/>
    <w:rsid w:val="00F5414E"/>
    <w:rsid w:val="00F8323B"/>
    <w:rsid w:val="00F86EA8"/>
    <w:rsid w:val="00FA744B"/>
    <w:rsid w:val="00FB0072"/>
    <w:rsid w:val="00FB3A54"/>
    <w:rsid w:val="00FB7785"/>
    <w:rsid w:val="00FC1D54"/>
    <w:rsid w:val="00FC7718"/>
    <w:rsid w:val="00FE2BAE"/>
    <w:rsid w:val="00FE5A67"/>
    <w:rsid w:val="00FF3C45"/>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7A9FB72A"/>
  <w15:chartTrackingRefBased/>
  <w15:docId w15:val="{ABFE2684-1A5C-4B97-8CF6-6C54E8D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25D"/>
    <w:pPr>
      <w:spacing w:after="0" w:line="240" w:lineRule="auto"/>
    </w:pPr>
    <w:rPr>
      <w:rFonts w:ascii="Calibri" w:eastAsia="Times New Roman" w:hAnsi="Calibri" w:cs="Times New Roman"/>
      <w:sz w:val="22"/>
      <w:szCs w:val="24"/>
      <w:lang w:val="en-US"/>
    </w:rPr>
  </w:style>
  <w:style w:type="paragraph" w:styleId="Heading1">
    <w:name w:val="heading 1"/>
    <w:basedOn w:val="Normal"/>
    <w:next w:val="Normal"/>
    <w:link w:val="Rubrik1Char"/>
    <w:uiPriority w:val="9"/>
    <w:semiHidden/>
    <w:qFormat/>
    <w:rsid w:val="000A0218"/>
    <w:pPr>
      <w:keepNext/>
      <w:keepLines/>
      <w:spacing w:before="320" w:after="120" w:line="280" w:lineRule="atLeast"/>
      <w:outlineLvl w:val="0"/>
    </w:pPr>
    <w:rPr>
      <w:rFonts w:asciiTheme="majorHAnsi" w:eastAsiaTheme="majorEastAsia" w:hAnsiTheme="majorHAnsi" w:cstheme="majorBidi"/>
      <w:b/>
      <w:sz w:val="21"/>
      <w:szCs w:val="32"/>
      <w:lang w:val="sv-SE"/>
    </w:rPr>
  </w:style>
  <w:style w:type="paragraph" w:styleId="Heading2">
    <w:name w:val="heading 2"/>
    <w:basedOn w:val="Normal"/>
    <w:next w:val="Normal"/>
    <w:link w:val="Rubrik2Char"/>
    <w:uiPriority w:val="9"/>
    <w:semiHidden/>
    <w:qFormat/>
    <w:rsid w:val="000A0218"/>
    <w:pPr>
      <w:keepNext/>
      <w:keepLines/>
      <w:spacing w:before="280" w:after="120" w:line="280" w:lineRule="atLeast"/>
      <w:outlineLvl w:val="1"/>
    </w:pPr>
    <w:rPr>
      <w:rFonts w:asciiTheme="majorHAnsi" w:eastAsiaTheme="majorEastAsia" w:hAnsiTheme="majorHAnsi" w:cstheme="majorBidi"/>
      <w:b/>
      <w:sz w:val="20"/>
      <w:szCs w:val="26"/>
      <w:lang w:val="sv-SE"/>
    </w:rPr>
  </w:style>
  <w:style w:type="paragraph" w:styleId="Heading3">
    <w:name w:val="heading 3"/>
    <w:basedOn w:val="Normal"/>
    <w:next w:val="Normal"/>
    <w:link w:val="Rubrik3Char"/>
    <w:uiPriority w:val="9"/>
    <w:semiHidden/>
    <w:qFormat/>
    <w:rsid w:val="00687D67"/>
    <w:pPr>
      <w:keepNext/>
      <w:keepLines/>
      <w:spacing w:after="120" w:line="280" w:lineRule="atLeast"/>
      <w:outlineLvl w:val="2"/>
    </w:pPr>
    <w:rPr>
      <w:rFonts w:asciiTheme="majorHAnsi" w:eastAsiaTheme="majorEastAsia" w:hAnsiTheme="majorHAnsi" w:cstheme="majorBidi"/>
      <w:sz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Rubrik1">
    <w:name w:val="Nr-Rubrik1"/>
    <w:basedOn w:val="Heading1"/>
    <w:next w:val="NormalIndent"/>
    <w:link w:val="Nr-Rubrik1Char"/>
    <w:uiPriority w:val="1"/>
    <w:qFormat/>
    <w:rsid w:val="000B5533"/>
    <w:pPr>
      <w:keepLines w:val="0"/>
      <w:numPr>
        <w:numId w:val="27"/>
      </w:numPr>
      <w:spacing w:before="0"/>
    </w:pPr>
  </w:style>
  <w:style w:type="paragraph" w:customStyle="1" w:styleId="Nr-Rubrik2">
    <w:name w:val="Nr-Rubrik2"/>
    <w:basedOn w:val="Heading2"/>
    <w:next w:val="NormalIndent"/>
    <w:link w:val="Nr-Rubrik2Char"/>
    <w:uiPriority w:val="1"/>
    <w:qFormat/>
    <w:rsid w:val="000B5533"/>
    <w:pPr>
      <w:keepLines w:val="0"/>
      <w:numPr>
        <w:ilvl w:val="1"/>
        <w:numId w:val="27"/>
      </w:numPr>
      <w:spacing w:before="0"/>
    </w:pPr>
  </w:style>
  <w:style w:type="character" w:customStyle="1" w:styleId="Nr-Rubrik1Char">
    <w:name w:val="Nr-Rubrik1 Char"/>
    <w:basedOn w:val="DefaultParagraphFont"/>
    <w:link w:val="Nr-Rubrik1"/>
    <w:uiPriority w:val="1"/>
    <w:rsid w:val="00735BA1"/>
    <w:rPr>
      <w:rFonts w:asciiTheme="majorHAnsi" w:eastAsiaTheme="majorEastAsia" w:hAnsiTheme="majorHAnsi" w:cstheme="majorBidi"/>
      <w:b/>
      <w:szCs w:val="32"/>
    </w:rPr>
  </w:style>
  <w:style w:type="paragraph" w:customStyle="1" w:styleId="Nr-Rubrik3">
    <w:name w:val="Nr-Rubrik3"/>
    <w:basedOn w:val="Heading3"/>
    <w:next w:val="NormalIndent"/>
    <w:link w:val="Nr-Rubrik3Char"/>
    <w:uiPriority w:val="1"/>
    <w:qFormat/>
    <w:rsid w:val="000B5533"/>
    <w:pPr>
      <w:keepLines w:val="0"/>
      <w:numPr>
        <w:ilvl w:val="2"/>
        <w:numId w:val="27"/>
      </w:numPr>
    </w:pPr>
    <w:rPr>
      <w:b/>
      <w:sz w:val="19"/>
    </w:rPr>
  </w:style>
  <w:style w:type="paragraph" w:styleId="Header">
    <w:name w:val="header"/>
    <w:basedOn w:val="Normal"/>
    <w:link w:val="SidhuvudChar"/>
    <w:uiPriority w:val="99"/>
    <w:unhideWhenUsed/>
    <w:rsid w:val="00851CED"/>
    <w:pPr>
      <w:tabs>
        <w:tab w:val="center" w:pos="4536"/>
        <w:tab w:val="right" w:pos="9072"/>
      </w:tabs>
      <w:spacing w:after="120"/>
    </w:pPr>
    <w:rPr>
      <w:rFonts w:asciiTheme="majorHAnsi" w:eastAsiaTheme="minorHAnsi" w:hAnsiTheme="majorHAnsi" w:cstheme="minorBidi"/>
      <w:sz w:val="14"/>
      <w:szCs w:val="21"/>
      <w:lang w:val="sv-SE"/>
    </w:rPr>
  </w:style>
  <w:style w:type="character" w:customStyle="1" w:styleId="Nr-Rubrik2Char">
    <w:name w:val="Nr-Rubrik2 Char"/>
    <w:basedOn w:val="Nr-Rubrik1Char"/>
    <w:link w:val="Nr-Rubrik2"/>
    <w:uiPriority w:val="1"/>
    <w:rsid w:val="00735BA1"/>
    <w:rPr>
      <w:rFonts w:asciiTheme="majorHAnsi" w:eastAsiaTheme="majorEastAsia" w:hAnsiTheme="majorHAnsi" w:cstheme="majorBidi"/>
      <w:b/>
      <w:sz w:val="20"/>
      <w:szCs w:val="26"/>
    </w:rPr>
  </w:style>
  <w:style w:type="character" w:customStyle="1" w:styleId="Nr-Rubrik3Char">
    <w:name w:val="Nr-Rubrik3 Char"/>
    <w:basedOn w:val="Nr-Rubrik2Char"/>
    <w:link w:val="Nr-Rubrik3"/>
    <w:uiPriority w:val="1"/>
    <w:rsid w:val="00735BA1"/>
    <w:rPr>
      <w:rFonts w:asciiTheme="majorHAnsi" w:eastAsiaTheme="majorEastAsia" w:hAnsiTheme="majorHAnsi" w:cstheme="majorBidi"/>
      <w:b/>
      <w:sz w:val="19"/>
      <w:szCs w:val="24"/>
    </w:rPr>
  </w:style>
  <w:style w:type="character" w:customStyle="1" w:styleId="SidhuvudChar">
    <w:name w:val="Sidhuvud Char"/>
    <w:basedOn w:val="DefaultParagraphFont"/>
    <w:link w:val="Header"/>
    <w:uiPriority w:val="99"/>
    <w:rsid w:val="00851CED"/>
    <w:rPr>
      <w:rFonts w:asciiTheme="majorHAnsi" w:hAnsiTheme="majorHAnsi"/>
      <w:sz w:val="14"/>
    </w:rPr>
  </w:style>
  <w:style w:type="paragraph" w:styleId="Footer">
    <w:name w:val="footer"/>
    <w:basedOn w:val="Normal"/>
    <w:link w:val="SidfotChar"/>
    <w:uiPriority w:val="99"/>
    <w:unhideWhenUsed/>
    <w:rsid w:val="003A21B1"/>
    <w:pPr>
      <w:tabs>
        <w:tab w:val="center" w:pos="4536"/>
        <w:tab w:val="right" w:pos="9072"/>
      </w:tabs>
      <w:spacing w:line="210" w:lineRule="atLeast"/>
    </w:pPr>
    <w:rPr>
      <w:rFonts w:asciiTheme="majorHAnsi" w:eastAsiaTheme="minorHAnsi" w:hAnsiTheme="majorHAnsi" w:cstheme="minorBidi"/>
      <w:caps/>
      <w:sz w:val="13"/>
      <w:szCs w:val="21"/>
      <w:lang w:val="sv-SE"/>
    </w:rPr>
  </w:style>
  <w:style w:type="character" w:customStyle="1" w:styleId="SidfotChar">
    <w:name w:val="Sidfot Char"/>
    <w:basedOn w:val="DefaultParagraphFont"/>
    <w:link w:val="Footer"/>
    <w:uiPriority w:val="99"/>
    <w:rsid w:val="003A21B1"/>
    <w:rPr>
      <w:rFonts w:asciiTheme="majorHAnsi" w:hAnsiTheme="majorHAnsi"/>
      <w:caps/>
      <w:sz w:val="13"/>
    </w:rPr>
  </w:style>
  <w:style w:type="paragraph" w:customStyle="1" w:styleId="Styckenr11">
    <w:name w:val="Styckenr 1.1"/>
    <w:basedOn w:val="Nr-Rubrik2"/>
    <w:uiPriority w:val="1"/>
    <w:qFormat/>
    <w:rsid w:val="00A83531"/>
    <w:pPr>
      <w:keepNext w:val="0"/>
      <w:outlineLvl w:val="9"/>
    </w:pPr>
    <w:rPr>
      <w:rFonts w:asciiTheme="minorHAnsi" w:hAnsiTheme="minorHAnsi"/>
      <w:b w:val="0"/>
      <w:sz w:val="21"/>
    </w:rPr>
  </w:style>
  <w:style w:type="paragraph" w:customStyle="1" w:styleId="Styckenr111">
    <w:name w:val="Styckenr 1.1.1"/>
    <w:basedOn w:val="Nr-Rubrik3"/>
    <w:uiPriority w:val="1"/>
    <w:qFormat/>
    <w:rsid w:val="00A83531"/>
    <w:pPr>
      <w:keepNext w:val="0"/>
      <w:outlineLvl w:val="9"/>
    </w:pPr>
    <w:rPr>
      <w:rFonts w:asciiTheme="minorHAnsi" w:hAnsiTheme="minorHAnsi"/>
      <w:b w:val="0"/>
      <w:sz w:val="21"/>
    </w:rPr>
  </w:style>
  <w:style w:type="paragraph" w:customStyle="1" w:styleId="Nr-Rubrik4">
    <w:name w:val="Nr-Rubrik4"/>
    <w:basedOn w:val="Normal"/>
    <w:uiPriority w:val="1"/>
    <w:semiHidden/>
    <w:qFormat/>
    <w:rsid w:val="000B5533"/>
    <w:pPr>
      <w:numPr>
        <w:ilvl w:val="3"/>
        <w:numId w:val="27"/>
      </w:numPr>
      <w:spacing w:after="120" w:line="280" w:lineRule="atLeast"/>
    </w:pPr>
    <w:rPr>
      <w:rFonts w:asciiTheme="majorHAnsi" w:eastAsiaTheme="minorHAnsi" w:hAnsiTheme="majorHAnsi" w:cstheme="minorBidi"/>
      <w:b/>
      <w:sz w:val="19"/>
      <w:szCs w:val="21"/>
      <w:lang w:val="sv-SE"/>
    </w:rPr>
  </w:style>
  <w:style w:type="paragraph" w:customStyle="1" w:styleId="a-lista">
    <w:name w:val="a-lista"/>
    <w:basedOn w:val="Normal"/>
    <w:uiPriority w:val="9"/>
    <w:qFormat/>
    <w:rsid w:val="00360D5F"/>
    <w:pPr>
      <w:numPr>
        <w:ilvl w:val="7"/>
        <w:numId w:val="27"/>
      </w:numPr>
      <w:spacing w:after="120" w:line="280" w:lineRule="atLeast"/>
      <w:ind w:left="1417" w:hanging="510"/>
    </w:pPr>
    <w:rPr>
      <w:rFonts w:asciiTheme="minorHAnsi" w:eastAsiaTheme="minorHAnsi" w:hAnsiTheme="minorHAnsi" w:cstheme="minorBidi"/>
      <w:sz w:val="21"/>
      <w:szCs w:val="21"/>
      <w:lang w:val="sv-SE"/>
    </w:rPr>
  </w:style>
  <w:style w:type="paragraph" w:customStyle="1" w:styleId="i-lista">
    <w:name w:val="i-lista"/>
    <w:basedOn w:val="Normal"/>
    <w:uiPriority w:val="3"/>
    <w:qFormat/>
    <w:rsid w:val="00360D5F"/>
    <w:pPr>
      <w:numPr>
        <w:ilvl w:val="8"/>
        <w:numId w:val="27"/>
      </w:numPr>
      <w:spacing w:after="120" w:line="280" w:lineRule="atLeast"/>
    </w:pPr>
    <w:rPr>
      <w:rFonts w:asciiTheme="minorHAnsi" w:eastAsiaTheme="minorHAnsi" w:hAnsiTheme="minorHAnsi" w:cstheme="minorBidi"/>
      <w:sz w:val="21"/>
      <w:szCs w:val="21"/>
      <w:lang w:val="sv-SE"/>
    </w:rPr>
  </w:style>
  <w:style w:type="paragraph" w:styleId="NormalIndent">
    <w:name w:val="Normal Indent"/>
    <w:basedOn w:val="Normal"/>
    <w:qFormat/>
    <w:rsid w:val="00EA5064"/>
    <w:pPr>
      <w:spacing w:after="120" w:line="280" w:lineRule="atLeast"/>
      <w:ind w:left="907"/>
    </w:pPr>
    <w:rPr>
      <w:rFonts w:asciiTheme="minorHAnsi" w:eastAsiaTheme="minorHAnsi" w:hAnsiTheme="minorHAnsi" w:cstheme="minorBidi"/>
      <w:sz w:val="21"/>
      <w:szCs w:val="21"/>
      <w:lang w:val="sv-SE"/>
    </w:rPr>
  </w:style>
  <w:style w:type="character" w:customStyle="1" w:styleId="Rubrik1Char">
    <w:name w:val="Rubrik 1 Char"/>
    <w:basedOn w:val="DefaultParagraphFont"/>
    <w:link w:val="Heading1"/>
    <w:uiPriority w:val="9"/>
    <w:semiHidden/>
    <w:rsid w:val="000A0218"/>
    <w:rPr>
      <w:rFonts w:asciiTheme="majorHAnsi" w:eastAsiaTheme="majorEastAsia" w:hAnsiTheme="majorHAnsi" w:cstheme="majorBidi"/>
      <w:b/>
      <w:sz w:val="21"/>
      <w:szCs w:val="32"/>
    </w:rPr>
  </w:style>
  <w:style w:type="character" w:customStyle="1" w:styleId="Rubrik2Char">
    <w:name w:val="Rubrik 2 Char"/>
    <w:basedOn w:val="DefaultParagraphFont"/>
    <w:link w:val="Heading2"/>
    <w:uiPriority w:val="9"/>
    <w:semiHidden/>
    <w:rsid w:val="000A0218"/>
    <w:rPr>
      <w:rFonts w:asciiTheme="majorHAnsi" w:eastAsiaTheme="majorEastAsia" w:hAnsiTheme="majorHAnsi" w:cstheme="majorBidi"/>
      <w:b/>
      <w:sz w:val="20"/>
      <w:szCs w:val="26"/>
    </w:rPr>
  </w:style>
  <w:style w:type="character" w:customStyle="1" w:styleId="Rubrik3Char">
    <w:name w:val="Rubrik 3 Char"/>
    <w:basedOn w:val="DefaultParagraphFont"/>
    <w:link w:val="Heading3"/>
    <w:uiPriority w:val="9"/>
    <w:semiHidden/>
    <w:rsid w:val="00687D67"/>
    <w:rPr>
      <w:rFonts w:asciiTheme="majorHAnsi" w:eastAsiaTheme="majorEastAsia" w:hAnsiTheme="majorHAnsi" w:cstheme="majorBidi"/>
      <w:sz w:val="20"/>
      <w:szCs w:val="24"/>
    </w:rPr>
  </w:style>
  <w:style w:type="numbering" w:customStyle="1" w:styleId="Setterwallsnumrering">
    <w:name w:val="Setterwalls numrering"/>
    <w:uiPriority w:val="99"/>
    <w:rsid w:val="000B5533"/>
    <w:pPr>
      <w:numPr>
        <w:numId w:val="3"/>
      </w:numPr>
    </w:pPr>
  </w:style>
  <w:style w:type="paragraph" w:styleId="ListParagraph">
    <w:name w:val="List Paragraph"/>
    <w:basedOn w:val="Normal"/>
    <w:uiPriority w:val="34"/>
    <w:semiHidden/>
    <w:qFormat/>
    <w:rsid w:val="00722C0E"/>
    <w:pPr>
      <w:spacing w:after="120" w:line="280" w:lineRule="atLeast"/>
      <w:ind w:left="720"/>
      <w:contextualSpacing/>
    </w:pPr>
    <w:rPr>
      <w:rFonts w:asciiTheme="minorHAnsi" w:eastAsiaTheme="minorHAnsi" w:hAnsiTheme="minorHAnsi" w:cstheme="minorBidi"/>
      <w:sz w:val="21"/>
      <w:szCs w:val="21"/>
      <w:lang w:val="sv-SE"/>
    </w:rPr>
  </w:style>
  <w:style w:type="paragraph" w:styleId="ListNumber">
    <w:name w:val="List Number"/>
    <w:basedOn w:val="Normal"/>
    <w:uiPriority w:val="3"/>
    <w:qFormat/>
    <w:rsid w:val="00FC7718"/>
    <w:pPr>
      <w:numPr>
        <w:numId w:val="31"/>
      </w:numPr>
      <w:spacing w:after="120" w:line="280" w:lineRule="atLeast"/>
    </w:pPr>
    <w:rPr>
      <w:rFonts w:asciiTheme="minorHAnsi" w:eastAsiaTheme="minorHAnsi" w:hAnsiTheme="minorHAnsi" w:cstheme="minorBidi"/>
      <w:sz w:val="21"/>
      <w:szCs w:val="21"/>
      <w:lang w:val="sv-SE"/>
    </w:rPr>
  </w:style>
  <w:style w:type="paragraph" w:styleId="TOC1">
    <w:name w:val="toc 1"/>
    <w:basedOn w:val="Normal"/>
    <w:next w:val="Normal"/>
    <w:autoRedefine/>
    <w:uiPriority w:val="39"/>
    <w:rsid w:val="00FE5A67"/>
    <w:pPr>
      <w:tabs>
        <w:tab w:val="left" w:pos="851"/>
        <w:tab w:val="right" w:leader="dot" w:pos="8392"/>
      </w:tabs>
      <w:spacing w:before="60"/>
      <w:ind w:left="851" w:hanging="851"/>
    </w:pPr>
    <w:rPr>
      <w:rFonts w:asciiTheme="majorHAnsi" w:eastAsiaTheme="minorHAnsi" w:hAnsiTheme="majorHAnsi" w:cstheme="minorBidi"/>
      <w:b/>
      <w:sz w:val="21"/>
      <w:szCs w:val="21"/>
      <w:lang w:val="sv-SE"/>
    </w:rPr>
  </w:style>
  <w:style w:type="paragraph" w:styleId="TOC2">
    <w:name w:val="toc 2"/>
    <w:basedOn w:val="Normal"/>
    <w:next w:val="Normal"/>
    <w:autoRedefine/>
    <w:uiPriority w:val="39"/>
    <w:rsid w:val="00FE5A67"/>
    <w:pPr>
      <w:tabs>
        <w:tab w:val="left" w:pos="851"/>
        <w:tab w:val="right" w:leader="dot" w:pos="8392"/>
      </w:tabs>
      <w:spacing w:before="60"/>
      <w:ind w:left="851" w:hanging="851"/>
    </w:pPr>
    <w:rPr>
      <w:rFonts w:asciiTheme="majorHAnsi" w:eastAsiaTheme="minorHAnsi" w:hAnsiTheme="majorHAnsi" w:cstheme="minorBidi"/>
      <w:sz w:val="21"/>
      <w:szCs w:val="21"/>
      <w:lang w:val="sv-SE"/>
    </w:rPr>
  </w:style>
  <w:style w:type="paragraph" w:styleId="TOC3">
    <w:name w:val="toc 3"/>
    <w:basedOn w:val="Normal"/>
    <w:next w:val="Normal"/>
    <w:autoRedefine/>
    <w:uiPriority w:val="39"/>
    <w:rsid w:val="00FE5A67"/>
    <w:pPr>
      <w:tabs>
        <w:tab w:val="left" w:pos="851"/>
        <w:tab w:val="right" w:leader="dot" w:pos="8392"/>
      </w:tabs>
      <w:spacing w:before="60"/>
      <w:ind w:left="851" w:hanging="851"/>
    </w:pPr>
    <w:rPr>
      <w:rFonts w:asciiTheme="majorHAnsi" w:eastAsiaTheme="minorHAnsi" w:hAnsiTheme="majorHAnsi" w:cstheme="minorBidi"/>
      <w:sz w:val="21"/>
      <w:szCs w:val="21"/>
      <w:lang w:val="sv-SE"/>
    </w:rPr>
  </w:style>
  <w:style w:type="character" w:styleId="Hyperlink">
    <w:name w:val="Hyperlink"/>
    <w:basedOn w:val="DefaultParagraphFont"/>
    <w:uiPriority w:val="99"/>
    <w:unhideWhenUsed/>
    <w:rsid w:val="00687D67"/>
    <w:rPr>
      <w:color w:val="0563C1" w:themeColor="hyperlink"/>
      <w:u w:val="single"/>
    </w:rPr>
  </w:style>
  <w:style w:type="paragraph" w:styleId="ListBullet">
    <w:name w:val="List Bullet"/>
    <w:basedOn w:val="Normal"/>
    <w:uiPriority w:val="3"/>
    <w:rsid w:val="00F409C3"/>
    <w:pPr>
      <w:numPr>
        <w:numId w:val="7"/>
      </w:numPr>
      <w:tabs>
        <w:tab w:val="clear" w:pos="360"/>
        <w:tab w:val="left" w:pos="1474"/>
      </w:tabs>
      <w:spacing w:after="120" w:line="280" w:lineRule="atLeast"/>
      <w:ind w:left="1474" w:hanging="567"/>
    </w:pPr>
    <w:rPr>
      <w:rFonts w:asciiTheme="minorHAnsi" w:eastAsiaTheme="minorHAnsi" w:hAnsiTheme="minorHAnsi" w:cstheme="minorBidi"/>
      <w:sz w:val="21"/>
      <w:szCs w:val="21"/>
      <w:lang w:val="sv-SE"/>
    </w:rPr>
  </w:style>
  <w:style w:type="character" w:styleId="PlaceholderText">
    <w:name w:val="Placeholder Text"/>
    <w:basedOn w:val="DefaultParagraphFont"/>
    <w:uiPriority w:val="99"/>
    <w:semiHidden/>
    <w:rsid w:val="00D03DEE"/>
    <w:rPr>
      <w:color w:val="808080"/>
    </w:rPr>
  </w:style>
  <w:style w:type="paragraph" w:styleId="Title">
    <w:name w:val="Title"/>
    <w:basedOn w:val="Normal"/>
    <w:next w:val="Normal"/>
    <w:link w:val="RubrikChar"/>
    <w:uiPriority w:val="1"/>
    <w:rsid w:val="003D39D2"/>
    <w:pPr>
      <w:spacing w:after="120" w:line="280" w:lineRule="atLeast"/>
      <w:contextualSpacing/>
    </w:pPr>
    <w:rPr>
      <w:rFonts w:asciiTheme="majorHAnsi" w:eastAsiaTheme="majorEastAsia" w:hAnsiTheme="majorHAnsi" w:cstheme="majorBidi"/>
      <w:b/>
      <w:spacing w:val="-10"/>
      <w:kern w:val="28"/>
      <w:sz w:val="21"/>
      <w:szCs w:val="56"/>
      <w:lang w:val="sv-SE"/>
    </w:rPr>
  </w:style>
  <w:style w:type="character" w:customStyle="1" w:styleId="RubrikChar">
    <w:name w:val="Rubrik Char"/>
    <w:basedOn w:val="DefaultParagraphFont"/>
    <w:link w:val="Title"/>
    <w:uiPriority w:val="1"/>
    <w:rsid w:val="003D39D2"/>
    <w:rPr>
      <w:rFonts w:asciiTheme="majorHAnsi" w:eastAsiaTheme="majorEastAsia" w:hAnsiTheme="majorHAnsi" w:cstheme="majorBidi"/>
      <w:b/>
      <w:spacing w:val="-10"/>
      <w:kern w:val="28"/>
      <w:szCs w:val="56"/>
    </w:rPr>
  </w:style>
  <w:style w:type="paragraph" w:customStyle="1" w:styleId="Adress">
    <w:name w:val="Adress"/>
    <w:basedOn w:val="Normal"/>
    <w:uiPriority w:val="10"/>
    <w:rsid w:val="00B90537"/>
    <w:pPr>
      <w:spacing w:line="280" w:lineRule="atLeast"/>
    </w:pPr>
    <w:rPr>
      <w:rFonts w:asciiTheme="majorHAnsi" w:eastAsiaTheme="minorHAnsi" w:hAnsiTheme="majorHAnsi" w:cstheme="minorBidi"/>
      <w:sz w:val="20"/>
      <w:szCs w:val="21"/>
      <w:lang w:val="sv-SE"/>
    </w:rPr>
  </w:style>
  <w:style w:type="paragraph" w:styleId="Quote">
    <w:name w:val="Quote"/>
    <w:basedOn w:val="Normal"/>
    <w:next w:val="Normal"/>
    <w:link w:val="CitatChar"/>
    <w:uiPriority w:val="10"/>
    <w:qFormat/>
    <w:rsid w:val="00DA3E62"/>
    <w:pPr>
      <w:spacing w:after="120" w:line="240" w:lineRule="atLeast"/>
      <w:ind w:left="1418" w:right="1418"/>
    </w:pPr>
    <w:rPr>
      <w:rFonts w:asciiTheme="minorHAnsi" w:eastAsiaTheme="minorHAnsi" w:hAnsiTheme="minorHAnsi" w:cstheme="minorBidi"/>
      <w:i/>
      <w:iCs/>
      <w:color w:val="404040" w:themeColor="text1" w:themeTint="BF"/>
      <w:sz w:val="18"/>
      <w:szCs w:val="21"/>
      <w:lang w:val="sv-SE"/>
    </w:rPr>
  </w:style>
  <w:style w:type="character" w:customStyle="1" w:styleId="CitatChar">
    <w:name w:val="Citat Char"/>
    <w:basedOn w:val="DefaultParagraphFont"/>
    <w:link w:val="Quote"/>
    <w:uiPriority w:val="10"/>
    <w:rsid w:val="00DA3E62"/>
    <w:rPr>
      <w:i/>
      <w:iCs/>
      <w:color w:val="404040" w:themeColor="text1" w:themeTint="BF"/>
      <w:sz w:val="18"/>
    </w:rPr>
  </w:style>
  <w:style w:type="table" w:styleId="TableGrid">
    <w:name w:val="Table Grid"/>
    <w:basedOn w:val="TableNormal"/>
    <w:uiPriority w:val="39"/>
    <w:rsid w:val="006637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uiPriority w:val="1"/>
    <w:qFormat/>
    <w:rsid w:val="004D1C38"/>
    <w:rPr>
      <w:rFonts w:asciiTheme="minorHAnsi" w:hAnsiTheme="minorHAnsi"/>
      <w:b w:val="0"/>
      <w:sz w:val="21"/>
    </w:rPr>
  </w:style>
  <w:style w:type="table" w:customStyle="1" w:styleId="Setterwalls1">
    <w:name w:val="Setterwalls 1"/>
    <w:basedOn w:val="TableNormal"/>
    <w:uiPriority w:val="99"/>
    <w:rsid w:val="001424A1"/>
    <w:pPr>
      <w:spacing w:before="40" w:after="20"/>
    </w:pPr>
    <w:tblPr>
      <w:tblStyleRowBandSize w:val="1"/>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TableNormal"/>
    <w:uiPriority w:val="99"/>
    <w:rsid w:val="001424A1"/>
    <w:pPr>
      <w:spacing w:before="40" w:after="20"/>
    </w:pPr>
    <w:tblPr>
      <w:tblStyleRowBandSize w:val="1"/>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styleId="PlainTable3">
    <w:name w:val="Plain Table 3"/>
    <w:basedOn w:val="TableNormal"/>
    <w:uiPriority w:val="43"/>
    <w:rsid w:val="00C438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TableNormal"/>
    <w:uiPriority w:val="99"/>
    <w:rsid w:val="001424A1"/>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77553A"/>
    <w:pPr>
      <w:spacing w:after="60" w:line="200" w:lineRule="atLeast"/>
    </w:pPr>
    <w:rPr>
      <w:rFonts w:asciiTheme="minorHAnsi" w:eastAsiaTheme="minorHAnsi" w:hAnsiTheme="minorHAnsi" w:cstheme="minorBidi"/>
      <w:sz w:val="18"/>
      <w:szCs w:val="21"/>
      <w:lang w:val="sv-SE"/>
    </w:rPr>
  </w:style>
  <w:style w:type="paragraph" w:customStyle="1" w:styleId="Dokumentrubrik">
    <w:name w:val="Dokumentrubrik"/>
    <w:basedOn w:val="Normal"/>
    <w:next w:val="Normal"/>
    <w:uiPriority w:val="5"/>
    <w:qFormat/>
    <w:rsid w:val="00DA3E62"/>
    <w:pPr>
      <w:keepNext/>
      <w:spacing w:after="240" w:line="384" w:lineRule="atLeast"/>
    </w:pPr>
    <w:rPr>
      <w:rFonts w:asciiTheme="majorHAnsi" w:eastAsiaTheme="minorHAnsi" w:hAnsiTheme="majorHAnsi" w:cstheme="minorBidi"/>
      <w:b/>
      <w:sz w:val="32"/>
      <w:szCs w:val="21"/>
      <w:lang w:val="sv-SE"/>
    </w:rPr>
  </w:style>
  <w:style w:type="paragraph" w:styleId="FootnoteText">
    <w:name w:val="footnote text"/>
    <w:basedOn w:val="Normal"/>
    <w:link w:val="FotnotstextChar"/>
    <w:uiPriority w:val="99"/>
    <w:semiHidden/>
    <w:unhideWhenUsed/>
    <w:rsid w:val="00CC29C9"/>
    <w:rPr>
      <w:rFonts w:asciiTheme="minorHAnsi" w:eastAsiaTheme="minorHAnsi" w:hAnsiTheme="minorHAnsi" w:cstheme="minorBidi"/>
      <w:sz w:val="16"/>
      <w:szCs w:val="20"/>
      <w:lang w:val="sv-SE"/>
    </w:rPr>
  </w:style>
  <w:style w:type="character" w:customStyle="1" w:styleId="FotnotstextChar">
    <w:name w:val="Fotnotstext Char"/>
    <w:basedOn w:val="DefaultParagraphFont"/>
    <w:link w:val="FootnoteText"/>
    <w:uiPriority w:val="99"/>
    <w:semiHidden/>
    <w:rsid w:val="00CC29C9"/>
    <w:rPr>
      <w:sz w:val="16"/>
      <w:szCs w:val="20"/>
    </w:rPr>
  </w:style>
  <w:style w:type="paragraph" w:customStyle="1" w:styleId="Styckenr1">
    <w:name w:val="Styckenr 1"/>
    <w:basedOn w:val="Nr-Rubrik1"/>
    <w:uiPriority w:val="1"/>
    <w:qFormat/>
    <w:rsid w:val="00A83531"/>
    <w:pPr>
      <w:keepNext w:val="0"/>
      <w:outlineLvl w:val="9"/>
    </w:pPr>
    <w:rPr>
      <w:rFonts w:asciiTheme="minorHAnsi" w:hAnsiTheme="minorHAnsi"/>
      <w:b w:val="0"/>
    </w:rPr>
  </w:style>
  <w:style w:type="numbering" w:customStyle="1" w:styleId="SetterwallsNumreradlista">
    <w:name w:val="Setterwalls Numreradlista"/>
    <w:uiPriority w:val="99"/>
    <w:rsid w:val="00FC7718"/>
    <w:pPr>
      <w:numPr>
        <w:numId w:val="31"/>
      </w:numPr>
    </w:pPr>
  </w:style>
  <w:style w:type="paragraph" w:customStyle="1" w:styleId="Nr-RubrikTabell">
    <w:name w:val="Nr-Rubrik Tabell"/>
    <w:basedOn w:val="Normal"/>
    <w:uiPriority w:val="2"/>
    <w:qFormat/>
    <w:rsid w:val="007C6EC0"/>
    <w:pPr>
      <w:numPr>
        <w:numId w:val="37"/>
      </w:numPr>
      <w:spacing w:before="40" w:after="20" w:line="280" w:lineRule="atLeast"/>
      <w:outlineLvl w:val="0"/>
    </w:pPr>
    <w:rPr>
      <w:rFonts w:asciiTheme="majorHAnsi" w:eastAsiaTheme="minorHAnsi" w:hAnsiTheme="majorHAnsi" w:cstheme="minorBidi"/>
      <w:b/>
      <w:sz w:val="21"/>
      <w:szCs w:val="21"/>
      <w:lang w:val="sv-SE"/>
    </w:rPr>
  </w:style>
  <w:style w:type="paragraph" w:customStyle="1" w:styleId="RubrikTabell">
    <w:name w:val="Rubrik Tabell"/>
    <w:basedOn w:val="Normal"/>
    <w:uiPriority w:val="2"/>
    <w:qFormat/>
    <w:rsid w:val="007C6EC0"/>
    <w:pPr>
      <w:spacing w:before="40" w:after="20" w:line="280" w:lineRule="atLeast"/>
    </w:pPr>
    <w:rPr>
      <w:rFonts w:asciiTheme="majorHAnsi" w:eastAsiaTheme="minorHAnsi" w:hAnsiTheme="majorHAnsi" w:cstheme="minorBidi"/>
      <w:b/>
      <w:sz w:val="21"/>
      <w:szCs w:val="21"/>
      <w:lang w:val="sv-SE"/>
    </w:rPr>
  </w:style>
  <w:style w:type="table" w:customStyle="1" w:styleId="Setterwalls4">
    <w:name w:val="Setterwalls 4"/>
    <w:basedOn w:val="Setterwalls1"/>
    <w:uiPriority w:val="99"/>
    <w:rsid w:val="001424A1"/>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FFFFFF" w:themeFill="background1"/>
      </w:tcPr>
    </w:tblStylePr>
  </w:style>
  <w:style w:type="numbering" w:customStyle="1" w:styleId="SetterwallsTabellnumrering">
    <w:name w:val="Setterwalls Tabellnumrering"/>
    <w:uiPriority w:val="99"/>
    <w:rsid w:val="007C6EC0"/>
    <w:pPr>
      <w:numPr>
        <w:numId w:val="33"/>
      </w:numPr>
    </w:pPr>
  </w:style>
  <w:style w:type="paragraph" w:customStyle="1" w:styleId="Styckenr11Tabell">
    <w:name w:val="Styckenr 1.1 Tabell"/>
    <w:basedOn w:val="NormalIndent"/>
    <w:uiPriority w:val="2"/>
    <w:qFormat/>
    <w:rsid w:val="007C6EC0"/>
    <w:pPr>
      <w:numPr>
        <w:ilvl w:val="1"/>
        <w:numId w:val="37"/>
      </w:numPr>
      <w:spacing w:before="40" w:after="20"/>
    </w:pPr>
  </w:style>
  <w:style w:type="character" w:styleId="CommentReference">
    <w:name w:val="annotation reference"/>
    <w:basedOn w:val="DefaultParagraphFont"/>
    <w:uiPriority w:val="99"/>
    <w:semiHidden/>
    <w:unhideWhenUsed/>
    <w:rsid w:val="00233219"/>
    <w:rPr>
      <w:sz w:val="16"/>
      <w:szCs w:val="16"/>
    </w:rPr>
  </w:style>
  <w:style w:type="paragraph" w:styleId="CommentText">
    <w:name w:val="annotation text"/>
    <w:basedOn w:val="Normal"/>
    <w:link w:val="KommentarerChar"/>
    <w:uiPriority w:val="99"/>
    <w:unhideWhenUsed/>
    <w:rsid w:val="00233219"/>
    <w:pPr>
      <w:spacing w:after="200"/>
    </w:pPr>
    <w:rPr>
      <w:rFonts w:asciiTheme="minorHAnsi" w:eastAsiaTheme="minorHAnsi" w:hAnsiTheme="minorHAnsi" w:cstheme="minorBidi"/>
      <w:sz w:val="20"/>
      <w:szCs w:val="20"/>
      <w:lang w:val="sv-SE"/>
    </w:rPr>
  </w:style>
  <w:style w:type="character" w:customStyle="1" w:styleId="KommentarerChar">
    <w:name w:val="Kommentarer Char"/>
    <w:basedOn w:val="DefaultParagraphFont"/>
    <w:link w:val="CommentText"/>
    <w:uiPriority w:val="99"/>
    <w:rsid w:val="00233219"/>
    <w:rPr>
      <w:sz w:val="20"/>
      <w:szCs w:val="20"/>
    </w:rPr>
  </w:style>
  <w:style w:type="paragraph" w:styleId="CommentSubject">
    <w:name w:val="annotation subject"/>
    <w:basedOn w:val="CommentText"/>
    <w:next w:val="CommentText"/>
    <w:link w:val="KommentarsmneChar"/>
    <w:uiPriority w:val="99"/>
    <w:semiHidden/>
    <w:unhideWhenUsed/>
    <w:rsid w:val="000450C0"/>
    <w:pPr>
      <w:spacing w:after="0"/>
    </w:pPr>
    <w:rPr>
      <w:rFonts w:ascii="Calibri" w:eastAsia="Times New Roman" w:hAnsi="Calibri" w:cs="Times New Roman"/>
      <w:b/>
      <w:bCs/>
      <w:lang w:val="en-US"/>
    </w:rPr>
  </w:style>
  <w:style w:type="character" w:customStyle="1" w:styleId="KommentarsmneChar">
    <w:name w:val="Kommentarsämne Char"/>
    <w:basedOn w:val="KommentarerChar"/>
    <w:link w:val="CommentSubject"/>
    <w:uiPriority w:val="99"/>
    <w:semiHidden/>
    <w:rsid w:val="000450C0"/>
    <w:rPr>
      <w:rFonts w:ascii="Calibri" w:eastAsia="Times New Roman" w:hAnsi="Calibri" w:cs="Times New Roman"/>
      <w:b/>
      <w:bCs/>
      <w:sz w:val="20"/>
      <w:szCs w:val="20"/>
      <w:lang w:val="en-US"/>
    </w:rPr>
  </w:style>
  <w:style w:type="character" w:styleId="FootnoteReference">
    <w:name w:val="footnote reference"/>
    <w:basedOn w:val="DefaultParagraphFont"/>
    <w:uiPriority w:val="99"/>
    <w:semiHidden/>
    <w:unhideWhenUsed/>
    <w:rsid w:val="00556DF0"/>
    <w:rPr>
      <w:vertAlign w:val="superscript"/>
    </w:rPr>
  </w:style>
  <w:style w:type="paragraph" w:styleId="Revision">
    <w:name w:val="Revision"/>
    <w:hidden/>
    <w:uiPriority w:val="99"/>
    <w:semiHidden/>
    <w:rsid w:val="00861386"/>
    <w:pPr>
      <w:spacing w:after="0" w:line="240" w:lineRule="auto"/>
    </w:pPr>
    <w:rPr>
      <w:rFonts w:ascii="Calibri" w:eastAsia="Times New Roman" w:hAnsi="Calibri" w:cs="Times New Roman"/>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