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3.0 -->
  <w:body>
    <w:p w:rsidR="006D5DC8" w:rsidRPr="003A5AB5" w:rsidP="003A5AB5" w14:paraId="66F45702" w14:textId="618019A0">
      <w:pPr>
        <w:spacing w:after="120"/>
        <w:jc w:val="both"/>
        <w:rPr>
          <w:rFonts w:cstheme="minorHAnsi"/>
          <w:b/>
          <w:sz w:val="24"/>
          <w:szCs w:val="24"/>
          <w:lang w:val="en-GB"/>
        </w:rPr>
      </w:pPr>
      <w:r w:rsidRPr="003A5AB5">
        <w:rPr>
          <w:rFonts w:cstheme="minorHAnsi"/>
          <w:b/>
          <w:sz w:val="24"/>
          <w:szCs w:val="24"/>
          <w:lang w:val="en-GB"/>
        </w:rPr>
        <w:t xml:space="preserve">Notice of extraordinary general meeting in Nordrest Holding AB </w:t>
      </w:r>
    </w:p>
    <w:p w:rsidR="004C6E37" w:rsidRPr="00BB0A02" w:rsidP="003A5AB5" w14:paraId="20804706" w14:textId="61906BB5">
      <w:pPr>
        <w:spacing w:after="120"/>
        <w:jc w:val="both"/>
        <w:rPr>
          <w:rFonts w:cstheme="minorHAnsi"/>
          <w:sz w:val="21"/>
          <w:szCs w:val="21"/>
          <w:lang w:val="en-GB"/>
        </w:rPr>
      </w:pPr>
      <w:r w:rsidRPr="00BB0A02">
        <w:rPr>
          <w:rFonts w:cstheme="minorHAnsi"/>
          <w:sz w:val="21"/>
          <w:szCs w:val="21"/>
          <w:lang w:val="en-US"/>
        </w:rPr>
        <w:t>The shareholders of Nordrest Holding AB, company reg. no. 556943-6560, (the "</w:t>
      </w:r>
      <w:r w:rsidRPr="00BB0A02">
        <w:rPr>
          <w:rFonts w:cstheme="minorHAnsi"/>
          <w:b/>
          <w:sz w:val="21"/>
          <w:szCs w:val="21"/>
          <w:lang w:val="en-US"/>
        </w:rPr>
        <w:t>Company</w:t>
      </w:r>
      <w:r w:rsidR="000B1F24">
        <w:rPr>
          <w:rFonts w:cstheme="minorHAnsi"/>
          <w:sz w:val="21"/>
          <w:szCs w:val="21"/>
          <w:lang w:val="en-US"/>
        </w:rPr>
        <w:t xml:space="preserve">"), are hereby invited to an extraordinary general meeting on Friday, December 19, 2025, at </w:t>
      </w:r>
      <w:r w:rsidR="00646C2D">
        <w:rPr>
          <w:rFonts w:cstheme="minorHAnsi"/>
          <w:sz w:val="21"/>
          <w:szCs w:val="21"/>
          <w:lang w:val="en-GB"/>
        </w:rPr>
        <w:t>10:00 CET</w:t>
      </w:r>
      <w:r w:rsidRPr="00BB0A02">
        <w:rPr>
          <w:rFonts w:cstheme="minorHAnsi"/>
          <w:sz w:val="21"/>
          <w:szCs w:val="21"/>
          <w:lang w:val="en-US"/>
        </w:rPr>
        <w:t xml:space="preserve"> at </w:t>
      </w:r>
      <w:r w:rsidR="00646C2D">
        <w:rPr>
          <w:rFonts w:cstheme="minorHAnsi"/>
          <w:sz w:val="21"/>
          <w:szCs w:val="21"/>
          <w:lang w:val="en-GB"/>
        </w:rPr>
        <w:t>the premises of Setterwalls Advokatbyrå at Sturegatan 10, 114 36 Stockholm. The entrance to the meeting room opens at 9:45 CET.</w:t>
      </w:r>
    </w:p>
    <w:p w:rsidR="00514629" w:rsidRPr="00BB0A02" w:rsidP="003A5AB5" w14:paraId="6A0D349C" w14:textId="33D9250A">
      <w:pPr>
        <w:tabs>
          <w:tab w:val="left" w:pos="426"/>
        </w:tabs>
        <w:spacing w:after="120"/>
        <w:jc w:val="both"/>
        <w:rPr>
          <w:rFonts w:cstheme="minorHAnsi"/>
          <w:b/>
          <w:sz w:val="21"/>
          <w:szCs w:val="21"/>
          <w:lang w:val="en-GB"/>
        </w:rPr>
      </w:pPr>
      <w:r w:rsidRPr="00BB0A02">
        <w:rPr>
          <w:rFonts w:cstheme="minorHAnsi"/>
          <w:b/>
          <w:sz w:val="21"/>
          <w:szCs w:val="21"/>
          <w:lang w:val="en-GB"/>
        </w:rPr>
        <w:t>Right to participate and notice to attend</w:t>
      </w:r>
    </w:p>
    <w:p w:rsidR="004C6E37" w:rsidRPr="00BB0A02" w:rsidP="003A5AB5" w14:paraId="3E73BE32" w14:textId="22921F7C">
      <w:pPr>
        <w:spacing w:after="120"/>
        <w:rPr>
          <w:rFonts w:cstheme="minorHAnsi"/>
          <w:sz w:val="21"/>
          <w:szCs w:val="21"/>
          <w:lang w:val="en-GB"/>
        </w:rPr>
      </w:pPr>
      <w:r w:rsidRPr="00BB0A02">
        <w:rPr>
          <w:rFonts w:cstheme="minorHAnsi"/>
          <w:bCs/>
          <w:i/>
          <w:iCs/>
          <w:sz w:val="21"/>
          <w:szCs w:val="21"/>
          <w:lang w:val="en-GB"/>
        </w:rPr>
        <w:t xml:space="preserve">Participation through </w:t>
      </w:r>
      <w:r w:rsidRPr="00BB0A02">
        <w:rPr>
          <w:rFonts w:cstheme="minorHAnsi"/>
          <w:i/>
          <w:sz w:val="21"/>
          <w:szCs w:val="21"/>
          <w:lang w:val="en-US"/>
        </w:rPr>
        <w:t>physical attendance</w:t>
      </w:r>
    </w:p>
    <w:p w:rsidR="004C6E37" w:rsidRPr="00BB0A02" w:rsidP="003A5AB5" w14:paraId="7DC72AC6" w14:textId="3237D2D4">
      <w:pPr>
        <w:tabs>
          <w:tab w:val="left" w:pos="426"/>
        </w:tabs>
        <w:spacing w:after="120"/>
        <w:jc w:val="both"/>
        <w:rPr>
          <w:rFonts w:cstheme="minorHAnsi"/>
          <w:bCs/>
          <w:sz w:val="21"/>
          <w:szCs w:val="21"/>
          <w:lang w:val="en-GB"/>
        </w:rPr>
      </w:pPr>
      <w:r w:rsidRPr="00BB0A02">
        <w:rPr>
          <w:rFonts w:cstheme="minorHAnsi"/>
          <w:bCs/>
          <w:sz w:val="21"/>
          <w:szCs w:val="21"/>
          <w:lang w:val="en-GB"/>
        </w:rPr>
        <w:t>Shareholders who wish to participate in the extraordinary general meeting, in person or through a proxy, must:</w:t>
      </w:r>
    </w:p>
    <w:p w:rsidR="004C6E37" w:rsidRPr="00BB0A02" w:rsidP="00087244" w14:paraId="6FB32926" w14:textId="683E6BC1">
      <w:pPr>
        <w:pStyle w:val="i-lista"/>
        <w:numPr>
          <w:ilvl w:val="0"/>
          <w:numId w:val="5"/>
        </w:numPr>
        <w:rPr>
          <w:rFonts w:cstheme="minorHAnsi"/>
          <w:lang w:val="en-GB"/>
        </w:rPr>
      </w:pPr>
      <w:r w:rsidRPr="00BB0A02">
        <w:rPr>
          <w:rFonts w:cstheme="minorHAnsi"/>
          <w:lang w:val="en-US"/>
        </w:rPr>
        <w:t>be registered in the share register maintained by Euroclear Sweden AB on the record date, which is Thursday, December 11, 2025,</w:t>
      </w:r>
    </w:p>
    <w:p w:rsidR="004C6E37" w:rsidRPr="00BB0A02" w:rsidP="00087244" w14:paraId="456AEDF6" w14:textId="608216EB">
      <w:pPr>
        <w:pStyle w:val="i-lista"/>
        <w:numPr>
          <w:ilvl w:val="0"/>
          <w:numId w:val="5"/>
        </w:numPr>
        <w:rPr>
          <w:rFonts w:cstheme="minorHAnsi"/>
          <w:lang w:val="en-GB"/>
        </w:rPr>
      </w:pPr>
      <w:r w:rsidRPr="00BB0A02">
        <w:rPr>
          <w:rFonts w:cstheme="minorHAnsi"/>
          <w:lang w:val="en-GB"/>
        </w:rPr>
        <w:t>register themselves and any assistants (maximum two) in writing by post to Setterwalls Advokatbyrå AB, Att: Alice Witting Isaksson, P.O. Box 112 35, 404 25 Gothenburg or by email to alice.witting.isaksson@setterwalls.se no later than Monday, December 15, 2025. The notification should state the full name, personal or organization number, shareholding, address, telephone number and, where applicable, information about representatives, proxies or assistants. Where applicable, the notification should be accompanied by powers of attorney, registration certificates and other authorization documents.</w:t>
      </w:r>
    </w:p>
    <w:p w:rsidR="00F55F1A" w:rsidRPr="00BB0A02" w:rsidP="003A5AB5" w14:paraId="7B83993D" w14:textId="77777777">
      <w:pPr>
        <w:spacing w:after="120"/>
        <w:rPr>
          <w:rFonts w:cstheme="minorHAnsi"/>
          <w:i/>
          <w:sz w:val="21"/>
          <w:szCs w:val="21"/>
          <w:lang w:val="en-US"/>
        </w:rPr>
      </w:pPr>
      <w:r w:rsidRPr="00BB0A02">
        <w:rPr>
          <w:rFonts w:cstheme="minorHAnsi"/>
          <w:i/>
          <w:sz w:val="21"/>
          <w:szCs w:val="21"/>
          <w:lang w:val="en-US"/>
        </w:rPr>
        <w:t>Participation by postal voting</w:t>
      </w:r>
    </w:p>
    <w:p w:rsidR="00F55F1A" w:rsidRPr="00BB0A02" w:rsidP="003A5AB5" w14:paraId="64AC6512" w14:textId="711882FC">
      <w:pPr>
        <w:spacing w:after="120"/>
        <w:rPr>
          <w:rFonts w:cstheme="minorHAnsi"/>
          <w:sz w:val="21"/>
          <w:szCs w:val="21"/>
          <w:lang w:val="en-GB"/>
        </w:rPr>
      </w:pPr>
      <w:r w:rsidRPr="00BB0A02">
        <w:rPr>
          <w:rFonts w:cstheme="minorHAnsi"/>
          <w:sz w:val="21"/>
          <w:szCs w:val="21"/>
          <w:lang w:val="en-GB"/>
        </w:rPr>
        <w:t>Shareholders who wish to participate in the extraordinary general meeting by advance voting (i.e., postal voting), in person, or by proxy shall:</w:t>
      </w:r>
    </w:p>
    <w:p w:rsidR="00F55F1A" w:rsidRPr="00BB0A02" w:rsidP="00087244" w14:paraId="47B317D9" w14:textId="4F2F7BBF">
      <w:pPr>
        <w:pStyle w:val="i-lista"/>
        <w:numPr>
          <w:ilvl w:val="0"/>
          <w:numId w:val="6"/>
        </w:numPr>
        <w:rPr>
          <w:rFonts w:cstheme="minorHAnsi"/>
          <w:lang w:val="en-GB"/>
        </w:rPr>
      </w:pPr>
      <w:r w:rsidRPr="00BB0A02">
        <w:rPr>
          <w:rFonts w:cstheme="minorHAnsi"/>
          <w:lang w:val="en-US"/>
        </w:rPr>
        <w:t>be registered in the share register maintained by Euroclear Sweden AB on the record date, which is Thursday, December 11, 2025,</w:t>
      </w:r>
    </w:p>
    <w:p w:rsidR="00F55F1A" w:rsidRPr="00BB0A02" w:rsidP="00087244" w14:paraId="68207C5B" w14:textId="0E8FC718">
      <w:pPr>
        <w:pStyle w:val="i-lista"/>
        <w:numPr>
          <w:ilvl w:val="0"/>
          <w:numId w:val="6"/>
        </w:numPr>
        <w:ind w:left="1077"/>
        <w:rPr>
          <w:rFonts w:cstheme="minorHAnsi"/>
          <w:lang w:val="en-GB"/>
        </w:rPr>
      </w:pPr>
      <w:r w:rsidRPr="00BB0A02">
        <w:rPr>
          <w:rFonts w:cstheme="minorHAnsi"/>
          <w:lang w:val="en-GB"/>
        </w:rPr>
        <w:t>register by casting their postal vote in accordance with the instructions below so that the postal vote is received by the Company no later than Monday, December 15, 2025.</w:t>
      </w:r>
    </w:p>
    <w:p w:rsidR="00F55F1A" w:rsidRPr="00BB0A02" w:rsidP="00EB3D05" w14:paraId="770D4D13" w14:textId="0DBFE124">
      <w:pPr>
        <w:tabs>
          <w:tab w:val="left" w:pos="426"/>
        </w:tabs>
        <w:spacing w:after="120"/>
        <w:jc w:val="both"/>
        <w:rPr>
          <w:rFonts w:cstheme="minorHAnsi"/>
          <w:sz w:val="21"/>
          <w:szCs w:val="21"/>
          <w:lang w:val="en-US"/>
        </w:rPr>
      </w:pPr>
      <w:r w:rsidRPr="00BB0A02">
        <w:rPr>
          <w:rFonts w:cstheme="minorHAnsi"/>
          <w:sz w:val="21"/>
          <w:szCs w:val="21"/>
          <w:lang w:val="en-US"/>
        </w:rPr>
        <w:t xml:space="preserve">A special form must be used for postal voting. The form is available on the Company's website, </w:t>
      </w:r>
      <w:r w:rsidRPr="00BB0A02" w:rsidR="00EB3D05">
        <w:rPr>
          <w:rStyle w:val="Hyperlink"/>
          <w:rFonts w:cstheme="minorHAnsi"/>
          <w:sz w:val="21"/>
          <w:szCs w:val="21"/>
          <w:lang w:val="en-GB"/>
        </w:rPr>
        <w:t>holding.nordrest.se</w:t>
      </w:r>
      <w:r w:rsidRPr="00BB0A02" w:rsidR="00EB3D05">
        <w:rPr>
          <w:rFonts w:cstheme="minorHAnsi"/>
          <w:bCs/>
          <w:sz w:val="21"/>
          <w:szCs w:val="21"/>
          <w:lang w:val="en-GB"/>
        </w:rPr>
        <w:t xml:space="preserve">. </w:t>
      </w:r>
      <w:r w:rsidRPr="00BB0A02">
        <w:rPr>
          <w:rFonts w:cstheme="minorHAnsi"/>
          <w:sz w:val="21"/>
          <w:szCs w:val="21"/>
          <w:lang w:val="en-US"/>
        </w:rPr>
        <w:t xml:space="preserve">A shareholder who exercises their voting rights by postal voting does not need to register separately for the meeting. The postal voting form applies as a notification to the meeting. </w:t>
      </w:r>
    </w:p>
    <w:p w:rsidR="0020577C" w:rsidRPr="00BB0A02" w:rsidP="003A5AB5" w14:paraId="6B608362" w14:textId="76D2F8DD">
      <w:pPr>
        <w:spacing w:after="120"/>
        <w:rPr>
          <w:rFonts w:cstheme="minorHAnsi"/>
          <w:sz w:val="21"/>
          <w:szCs w:val="21"/>
          <w:lang w:val="en-US"/>
        </w:rPr>
      </w:pPr>
      <w:r w:rsidRPr="00BB0A02">
        <w:rPr>
          <w:rFonts w:cstheme="minorHAnsi"/>
          <w:sz w:val="21"/>
          <w:szCs w:val="21"/>
          <w:lang w:val="en-US"/>
        </w:rPr>
        <w:t xml:space="preserve">The completed postal voting form shall be sent in writing by post to </w:t>
      </w:r>
      <w:r w:rsidRPr="00BB0A02" w:rsidR="00EB3D05">
        <w:rPr>
          <w:rFonts w:cstheme="minorHAnsi"/>
          <w:bCs/>
          <w:sz w:val="21"/>
          <w:szCs w:val="21"/>
          <w:lang w:val="en-GB"/>
        </w:rPr>
        <w:t>Setterwalls Advokatbyrå AB, Att: Alice Witting Isaksson, P.O. Box 112 35, 404 25 Gothenburg</w:t>
      </w:r>
      <w:r w:rsidRPr="00BB0A02">
        <w:rPr>
          <w:rFonts w:cstheme="minorHAnsi"/>
          <w:sz w:val="21"/>
          <w:szCs w:val="21"/>
          <w:lang w:val="en-US"/>
        </w:rPr>
        <w:t xml:space="preserve"> or by email to </w:t>
      </w:r>
      <w:r w:rsidRPr="00BB0A02" w:rsidR="00EB3D05">
        <w:rPr>
          <w:rFonts w:cstheme="minorHAnsi"/>
          <w:bCs/>
          <w:sz w:val="21"/>
          <w:szCs w:val="21"/>
          <w:lang w:val="en-GB"/>
        </w:rPr>
        <w:t>alice.witting.isaksson@setterwalls.se</w:t>
      </w:r>
      <w:r w:rsidRPr="00BB0A02" w:rsidR="00F55F1A">
        <w:rPr>
          <w:rFonts w:cstheme="minorHAnsi"/>
          <w:sz w:val="21"/>
          <w:szCs w:val="21"/>
          <w:lang w:val="en-US"/>
        </w:rPr>
        <w:t xml:space="preserve">. If the shareholder is a legal entity, a certificate of registration or other document of authority shall be enclosed with the form. The same applies if the shareholder votes in advance through a proxy. The shareholder may not provide the postal vote with special instructions or conditions. If so, the vote is invalid. </w:t>
      </w:r>
    </w:p>
    <w:p w:rsidR="00F55F1A" w:rsidRPr="00BB0A02" w:rsidP="003A5AB5" w14:paraId="473A7D41" w14:textId="709D38A4">
      <w:pPr>
        <w:tabs>
          <w:tab w:val="left" w:pos="426"/>
        </w:tabs>
        <w:spacing w:after="120"/>
        <w:jc w:val="both"/>
        <w:rPr>
          <w:rFonts w:cstheme="minorHAnsi"/>
          <w:bCs/>
          <w:sz w:val="21"/>
          <w:szCs w:val="21"/>
          <w:lang w:val="en-GB"/>
        </w:rPr>
      </w:pPr>
      <w:r w:rsidRPr="00BB0A02">
        <w:rPr>
          <w:rFonts w:cstheme="minorHAnsi"/>
          <w:sz w:val="21"/>
          <w:szCs w:val="21"/>
          <w:lang w:val="en-US"/>
        </w:rPr>
        <w:t>Complete instructions for postal voting can be found in the postal voting form.</w:t>
      </w:r>
    </w:p>
    <w:p w:rsidR="005F7CA2" w:rsidRPr="00BB0A02" w:rsidP="003A5AB5" w14:paraId="407447B0" w14:textId="11C6E274">
      <w:pPr>
        <w:spacing w:after="120"/>
        <w:rPr>
          <w:rFonts w:cstheme="minorHAnsi"/>
          <w:sz w:val="21"/>
          <w:szCs w:val="21"/>
          <w:lang w:val="en-GB"/>
        </w:rPr>
      </w:pPr>
      <w:r w:rsidRPr="00BB0A02">
        <w:rPr>
          <w:rFonts w:cstheme="minorHAnsi"/>
          <w:bCs/>
          <w:sz w:val="21"/>
          <w:szCs w:val="21"/>
          <w:lang w:val="en-GB"/>
        </w:rPr>
        <w:t xml:space="preserve">Please note that anyone who wishes to attend the meeting in person or through a proxy must register in accordance with the instructions under the heading “Participation through </w:t>
      </w:r>
      <w:r w:rsidRPr="00BB0A02">
        <w:rPr>
          <w:rFonts w:cstheme="minorHAnsi"/>
          <w:sz w:val="21"/>
          <w:szCs w:val="21"/>
          <w:lang w:val="en-US"/>
        </w:rPr>
        <w:t>physical attendance</w:t>
      </w:r>
      <w:r w:rsidRPr="00BB0A02">
        <w:rPr>
          <w:rFonts w:cstheme="minorHAnsi"/>
          <w:bCs/>
          <w:sz w:val="21"/>
          <w:szCs w:val="21"/>
          <w:lang w:val="en-GB"/>
        </w:rPr>
        <w:t>” above. This means that advance voting alone is not sufficient for those who wish to attend the meeting.</w:t>
      </w:r>
    </w:p>
    <w:p w:rsidR="0020577C" w:rsidRPr="00BB0A02" w:rsidP="003A5AB5" w14:paraId="17F17326" w14:textId="2E424C42">
      <w:pPr>
        <w:tabs>
          <w:tab w:val="left" w:pos="426"/>
        </w:tabs>
        <w:spacing w:after="120"/>
        <w:jc w:val="both"/>
        <w:rPr>
          <w:rFonts w:cstheme="minorHAnsi"/>
          <w:b/>
          <w:sz w:val="21"/>
          <w:szCs w:val="21"/>
          <w:lang w:val="en-GB"/>
        </w:rPr>
      </w:pPr>
      <w:r w:rsidRPr="00BB0A02">
        <w:rPr>
          <w:rFonts w:cstheme="minorHAnsi"/>
          <w:b/>
          <w:sz w:val="21"/>
          <w:szCs w:val="21"/>
          <w:lang w:val="en-GB"/>
        </w:rPr>
        <w:t>Nominee-registered shares</w:t>
      </w:r>
    </w:p>
    <w:p w:rsidR="00241201" w:rsidRPr="00BB0A02" w:rsidP="003A5AB5" w14:paraId="3852CB22" w14:textId="46AB982E">
      <w:pPr>
        <w:tabs>
          <w:tab w:val="left" w:pos="426"/>
        </w:tabs>
        <w:spacing w:after="120"/>
        <w:jc w:val="both"/>
        <w:rPr>
          <w:rFonts w:cstheme="minorHAnsi"/>
          <w:bCs/>
          <w:sz w:val="21"/>
          <w:szCs w:val="21"/>
          <w:lang w:val="en-GB"/>
        </w:rPr>
      </w:pPr>
      <w:r w:rsidRPr="00BB0A02">
        <w:rPr>
          <w:rFonts w:cstheme="minorHAnsi"/>
          <w:bCs/>
          <w:sz w:val="21"/>
          <w:szCs w:val="21"/>
          <w:lang w:val="en-GB"/>
        </w:rPr>
        <w:t>To be entitled to participate in the extraordinary general meeting, shareholders who have had their shares registered with a nominee must temporarily re-register the shares in their own name. Shareholders who wish to make such re-registration, so-called voting rights registration, must notify their nominee well in advance of December 15, 2025. The re-registration must be effected with Euroclear Sweden AB no later than December 15, 2025.</w:t>
      </w:r>
    </w:p>
    <w:p w:rsidR="0020577C" w:rsidRPr="00BB0A02" w:rsidP="003A5AB5" w14:paraId="2F6DC23B" w14:textId="77777777">
      <w:pPr>
        <w:tabs>
          <w:tab w:val="left" w:pos="426"/>
        </w:tabs>
        <w:spacing w:after="120"/>
        <w:jc w:val="both"/>
        <w:rPr>
          <w:rFonts w:cstheme="minorHAnsi"/>
          <w:b/>
          <w:sz w:val="21"/>
          <w:szCs w:val="21"/>
          <w:lang w:val="en-GB"/>
        </w:rPr>
      </w:pPr>
      <w:r w:rsidRPr="00BB0A02">
        <w:rPr>
          <w:rFonts w:cstheme="minorHAnsi"/>
          <w:b/>
          <w:sz w:val="21"/>
          <w:szCs w:val="21"/>
          <w:lang w:val="en-GB"/>
        </w:rPr>
        <w:t>Proxies etc.</w:t>
      </w:r>
    </w:p>
    <w:p w:rsidR="0020577C" w:rsidRPr="00BB0A02" w:rsidP="003A5AB5" w14:paraId="79A0A24C" w14:textId="25939B6B">
      <w:pPr>
        <w:tabs>
          <w:tab w:val="left" w:pos="426"/>
        </w:tabs>
        <w:spacing w:after="120"/>
        <w:jc w:val="both"/>
        <w:rPr>
          <w:rFonts w:cstheme="minorHAnsi"/>
          <w:bCs/>
          <w:sz w:val="21"/>
          <w:szCs w:val="21"/>
          <w:lang w:val="en-GB"/>
        </w:rPr>
      </w:pPr>
      <w:r w:rsidRPr="00BB0A02">
        <w:rPr>
          <w:rFonts w:cstheme="minorHAnsi"/>
          <w:bCs/>
          <w:sz w:val="21"/>
          <w:szCs w:val="21"/>
          <w:lang w:val="en-GB"/>
        </w:rPr>
        <w:t>Shareholders represented by proxy shall issue a written and dated power of attorney for the proxy. If the power of attorney is issued by a legal entity, a certified copy of the registration certificate, or equivalent authorization document, showing that the persons who have signed the power of attorney are authorized signatories for the legal entity, shall be attached to the power of attorney. The power of attorney may not be more than one year old, however, the power of attorney may be older than one year if it is clear that it is valid for a longer period, up to a maximum of five years. To facilitate admission to the meeting, a copy of the power of attorney and any registration certificate should be sent to the Company at the above address no later than Monday, December 15, 2025. The original power of attorney and registration certificate must also be presented at the meeting. Power of attorney certificates are also accepted.</w:t>
      </w:r>
    </w:p>
    <w:p w:rsidR="0020577C" w:rsidRPr="00BB0A02" w:rsidP="003A5AB5" w14:paraId="1C4DFB0A" w14:textId="60739805">
      <w:pPr>
        <w:tabs>
          <w:tab w:val="left" w:pos="426"/>
        </w:tabs>
        <w:spacing w:after="120"/>
        <w:jc w:val="both"/>
        <w:rPr>
          <w:rFonts w:cstheme="minorHAnsi"/>
          <w:bCs/>
          <w:sz w:val="21"/>
          <w:szCs w:val="21"/>
          <w:lang w:val="en-GB"/>
        </w:rPr>
      </w:pPr>
      <w:r w:rsidRPr="00BB0A02">
        <w:rPr>
          <w:rFonts w:cstheme="minorHAnsi"/>
          <w:bCs/>
          <w:sz w:val="21"/>
          <w:szCs w:val="21"/>
          <w:lang w:val="en-GB"/>
        </w:rPr>
        <w:t xml:space="preserve">Power of attorney forms will be available on the Company's website, </w:t>
      </w:r>
      <w:r w:rsidRPr="00BB0A02">
        <w:rPr>
          <w:rStyle w:val="Hyperlink"/>
          <w:rFonts w:cstheme="minorHAnsi"/>
          <w:sz w:val="21"/>
          <w:szCs w:val="21"/>
          <w:lang w:val="en-GB"/>
        </w:rPr>
        <w:t>holding.nordrest.se</w:t>
      </w:r>
      <w:r w:rsidRPr="00BB0A02">
        <w:rPr>
          <w:rFonts w:cstheme="minorHAnsi"/>
          <w:bCs/>
          <w:sz w:val="21"/>
          <w:szCs w:val="21"/>
          <w:lang w:val="en-GB"/>
        </w:rPr>
        <w:t>, and will be sent free of charge to shareholders who request them and provide their postal address.</w:t>
      </w:r>
    </w:p>
    <w:p w:rsidR="0020577C" w:rsidRPr="00BB0A02" w:rsidP="003A5AB5" w14:paraId="5580933C" w14:textId="77777777">
      <w:pPr>
        <w:spacing w:after="120"/>
        <w:jc w:val="both"/>
        <w:rPr>
          <w:rFonts w:cstheme="minorHAnsi"/>
          <w:b/>
          <w:sz w:val="21"/>
          <w:szCs w:val="21"/>
          <w:lang w:val="en-GB"/>
        </w:rPr>
      </w:pPr>
      <w:r w:rsidRPr="00BB0A02">
        <w:rPr>
          <w:rFonts w:cstheme="minorHAnsi"/>
          <w:b/>
          <w:sz w:val="21"/>
          <w:szCs w:val="21"/>
          <w:lang w:val="en-GB"/>
        </w:rPr>
        <w:t>Participation via video link</w:t>
      </w:r>
    </w:p>
    <w:p w:rsidR="00241201" w:rsidRPr="00BB0A02" w:rsidP="003A5AB5" w14:paraId="6291105B" w14:textId="48EE9F04">
      <w:pPr>
        <w:tabs>
          <w:tab w:val="left" w:pos="426"/>
        </w:tabs>
        <w:spacing w:after="120"/>
        <w:jc w:val="both"/>
        <w:rPr>
          <w:rFonts w:cstheme="minorHAnsi"/>
          <w:bCs/>
          <w:sz w:val="21"/>
          <w:szCs w:val="21"/>
          <w:lang w:val="en-GB"/>
        </w:rPr>
      </w:pPr>
      <w:r w:rsidRPr="00BB0A02">
        <w:rPr>
          <w:rFonts w:cstheme="minorHAnsi"/>
          <w:bCs/>
          <w:sz w:val="21"/>
          <w:szCs w:val="21"/>
          <w:lang w:val="en-GB"/>
        </w:rPr>
        <w:t xml:space="preserve">Shareholders may participate in the meeting, either in person or by proxy, remotely via video link. Those who wish to participate remotely and wish to exercise their voting rights will not be able to do so via video link but must exercise their voting rights either by proxy or by advance voting. Detailed instructions regarding electronic participation will be sent no later than Thursday, December 18, 2025 to shareholders who </w:t>
      </w:r>
      <w:r w:rsidRPr="00646C2D" w:rsidR="00646C2D">
        <w:rPr>
          <w:rFonts w:cstheme="minorHAnsi"/>
          <w:bCs/>
          <w:sz w:val="21"/>
          <w:szCs w:val="21"/>
          <w:lang w:val="en-US"/>
        </w:rPr>
        <w:t xml:space="preserve">no later than Monday, 15 December 2025 </w:t>
      </w:r>
      <w:r w:rsidRPr="00BB0A02">
        <w:rPr>
          <w:rFonts w:cstheme="minorHAnsi"/>
          <w:bCs/>
          <w:sz w:val="21"/>
          <w:szCs w:val="21"/>
          <w:lang w:val="en-GB"/>
        </w:rPr>
        <w:t>have registered their participation via video link in writing by mail to Setterwalls Advokatbyrå AB, Att: Alice Witting Isaksson, P.O. Box 112 35, 404 25 Gothenburg or by email to alice.witting.isaksson@setterwalls.se.</w:t>
      </w:r>
    </w:p>
    <w:p w:rsidR="0020577C" w:rsidRPr="00BB0A02" w:rsidP="003A5AB5" w14:paraId="42222C87" w14:textId="77777777">
      <w:pPr>
        <w:tabs>
          <w:tab w:val="left" w:pos="426"/>
        </w:tabs>
        <w:spacing w:after="120"/>
        <w:jc w:val="both"/>
        <w:rPr>
          <w:rFonts w:cstheme="minorHAnsi"/>
          <w:bCs/>
          <w:sz w:val="21"/>
          <w:szCs w:val="21"/>
          <w:lang w:val="en-GB"/>
        </w:rPr>
      </w:pPr>
      <w:r w:rsidRPr="00BB0A02">
        <w:rPr>
          <w:rFonts w:cstheme="minorHAnsi"/>
          <w:bCs/>
          <w:sz w:val="21"/>
          <w:szCs w:val="21"/>
          <w:lang w:val="en-GB"/>
        </w:rPr>
        <w:t>The following rules apply to those participating online via video link (which the participant accepts by choosing to participate online). It is not possible to vote, request the floor, submit proposals or objections, or request a vote (ballot). Since it is not possible to check whether any outsiders are following the meeting online, the possibility of participating online requires that the meeting decides that even those who are not shareholders shall have the right to follow the meeting.</w:t>
      </w:r>
    </w:p>
    <w:p w:rsidR="00454737" w:rsidRPr="00BB0A02" w:rsidP="003A5AB5" w14:paraId="37040CE1" w14:textId="316EF525">
      <w:pPr>
        <w:spacing w:after="120"/>
        <w:jc w:val="both"/>
        <w:rPr>
          <w:rFonts w:cstheme="minorHAnsi"/>
          <w:b/>
          <w:bCs/>
          <w:sz w:val="21"/>
          <w:szCs w:val="21"/>
          <w:lang w:val="en-GB"/>
        </w:rPr>
      </w:pPr>
      <w:r w:rsidRPr="00BB0A02">
        <w:rPr>
          <w:rFonts w:cstheme="minorHAnsi"/>
          <w:b/>
          <w:bCs/>
          <w:sz w:val="21"/>
          <w:szCs w:val="21"/>
          <w:lang w:val="en-GB"/>
        </w:rPr>
        <w:t>Proposed agenda</w:t>
      </w:r>
    </w:p>
    <w:p w:rsidR="00454737" w:rsidRPr="00BB0A02" w:rsidP="00087244" w14:paraId="32872109" w14:textId="520F0AEB">
      <w:pPr>
        <w:numPr>
          <w:ilvl w:val="0"/>
          <w:numId w:val="4"/>
        </w:numPr>
        <w:spacing w:after="120"/>
        <w:jc w:val="both"/>
        <w:rPr>
          <w:rFonts w:cstheme="minorHAnsi"/>
          <w:sz w:val="21"/>
          <w:szCs w:val="21"/>
          <w:lang w:val="en-GB"/>
        </w:rPr>
      </w:pPr>
      <w:r w:rsidRPr="00BB0A02">
        <w:rPr>
          <w:rFonts w:cstheme="minorHAnsi"/>
          <w:sz w:val="21"/>
          <w:szCs w:val="21"/>
          <w:lang w:val="en-GB"/>
        </w:rPr>
        <w:t xml:space="preserve">Opening of the meeting and </w:t>
      </w:r>
      <w:r w:rsidRPr="00BB0A02">
        <w:rPr>
          <w:rFonts w:cstheme="minorHAnsi"/>
          <w:sz w:val="21"/>
          <w:szCs w:val="21"/>
          <w:lang w:val="en-US"/>
        </w:rPr>
        <w:t>election of chairman of the meeting</w:t>
      </w:r>
    </w:p>
    <w:p w:rsidR="00454737" w:rsidRPr="00BB0A02" w:rsidP="00087244" w14:paraId="1CA96BA3" w14:textId="2546F24A">
      <w:pPr>
        <w:numPr>
          <w:ilvl w:val="0"/>
          <w:numId w:val="4"/>
        </w:numPr>
        <w:spacing w:after="120"/>
        <w:jc w:val="both"/>
        <w:rPr>
          <w:rFonts w:cstheme="minorHAnsi"/>
          <w:sz w:val="21"/>
          <w:szCs w:val="21"/>
          <w:lang w:val="en-GB"/>
        </w:rPr>
      </w:pPr>
      <w:r w:rsidRPr="00BB0A02">
        <w:rPr>
          <w:rFonts w:cstheme="minorHAnsi"/>
          <w:sz w:val="21"/>
          <w:szCs w:val="21"/>
          <w:lang w:val="en-GB"/>
        </w:rPr>
        <w:t>Preparation and approval of the voting list</w:t>
      </w:r>
    </w:p>
    <w:p w:rsidR="00454737" w:rsidRPr="00BB0A02" w:rsidP="00087244" w14:paraId="2F1033F9" w14:textId="1E3F7310">
      <w:pPr>
        <w:numPr>
          <w:ilvl w:val="0"/>
          <w:numId w:val="4"/>
        </w:numPr>
        <w:spacing w:after="120"/>
        <w:jc w:val="both"/>
        <w:rPr>
          <w:rFonts w:cstheme="minorHAnsi"/>
          <w:sz w:val="21"/>
          <w:szCs w:val="21"/>
          <w:lang w:val="en-GB"/>
        </w:rPr>
      </w:pPr>
      <w:r w:rsidRPr="00BB0A02">
        <w:rPr>
          <w:rFonts w:cstheme="minorHAnsi"/>
          <w:sz w:val="21"/>
          <w:szCs w:val="21"/>
          <w:lang w:val="en-GB"/>
        </w:rPr>
        <w:t>Approval of the proposed agenda</w:t>
      </w:r>
    </w:p>
    <w:p w:rsidR="00454737" w:rsidRPr="00BB0A02" w:rsidP="00087244" w14:paraId="1180EE61" w14:textId="2572CDCE">
      <w:pPr>
        <w:numPr>
          <w:ilvl w:val="0"/>
          <w:numId w:val="4"/>
        </w:numPr>
        <w:spacing w:after="120"/>
        <w:jc w:val="both"/>
        <w:rPr>
          <w:rFonts w:cstheme="minorHAnsi"/>
          <w:sz w:val="21"/>
          <w:szCs w:val="21"/>
          <w:lang w:val="en-GB"/>
        </w:rPr>
      </w:pPr>
      <w:r w:rsidRPr="00BB0A02">
        <w:rPr>
          <w:rFonts w:cstheme="minorHAnsi"/>
          <w:sz w:val="21"/>
          <w:szCs w:val="21"/>
          <w:lang w:val="en-US"/>
        </w:rPr>
        <w:t>Election of one or two persons to verify the minutes</w:t>
      </w:r>
    </w:p>
    <w:p w:rsidR="00454737" w:rsidRPr="00BB0A02" w:rsidP="00087244" w14:paraId="0708FB1A" w14:textId="755D4124">
      <w:pPr>
        <w:numPr>
          <w:ilvl w:val="0"/>
          <w:numId w:val="4"/>
        </w:numPr>
        <w:spacing w:after="120"/>
        <w:jc w:val="both"/>
        <w:rPr>
          <w:rFonts w:cstheme="minorHAnsi"/>
          <w:sz w:val="21"/>
          <w:szCs w:val="21"/>
          <w:lang w:val="en-GB"/>
        </w:rPr>
      </w:pPr>
      <w:r w:rsidRPr="00BB0A02">
        <w:rPr>
          <w:rFonts w:cstheme="minorHAnsi"/>
          <w:sz w:val="21"/>
          <w:szCs w:val="21"/>
          <w:lang w:val="en-US"/>
        </w:rPr>
        <w:t>Determination of whether the meeting has been duly convened</w:t>
      </w:r>
    </w:p>
    <w:p w:rsidR="00241201" w:rsidRPr="00BB0A02" w:rsidP="00BB0A02" w14:paraId="46F12FAB" w14:textId="3089732A">
      <w:pPr>
        <w:numPr>
          <w:ilvl w:val="0"/>
          <w:numId w:val="4"/>
        </w:numPr>
        <w:spacing w:after="120" w:line="280" w:lineRule="atLeast"/>
        <w:jc w:val="both"/>
        <w:rPr>
          <w:rFonts w:cstheme="minorHAnsi"/>
          <w:sz w:val="21"/>
          <w:szCs w:val="21"/>
          <w:lang w:val="en-GB"/>
        </w:rPr>
      </w:pPr>
      <w:r w:rsidRPr="00BB0A02" w:rsidR="000B1F24">
        <w:rPr>
          <w:rFonts w:cstheme="minorHAnsi"/>
          <w:sz w:val="21"/>
          <w:szCs w:val="21"/>
          <w:lang w:val="en-GB"/>
        </w:rPr>
        <w:t>Resolution regarding authorization for the board of directors to resolve on issue of shares, warrants and/or convertibles</w:t>
      </w:r>
    </w:p>
    <w:p w:rsidR="00454737" w:rsidRPr="00BB0A02" w:rsidP="00087244" w14:paraId="1505650E" w14:textId="0B028343">
      <w:pPr>
        <w:numPr>
          <w:ilvl w:val="0"/>
          <w:numId w:val="4"/>
        </w:numPr>
        <w:spacing w:after="120"/>
        <w:jc w:val="both"/>
        <w:rPr>
          <w:rFonts w:cstheme="minorHAnsi"/>
          <w:sz w:val="21"/>
          <w:szCs w:val="21"/>
          <w:lang w:val="en-GB"/>
        </w:rPr>
      </w:pPr>
      <w:bookmarkStart w:id="0" w:name="_Ref96335908"/>
      <w:r w:rsidRPr="00BB0A02">
        <w:rPr>
          <w:rFonts w:cstheme="minorHAnsi"/>
          <w:sz w:val="21"/>
          <w:szCs w:val="21"/>
          <w:lang w:val="en-US"/>
        </w:rPr>
        <w:t xml:space="preserve">Resolution on </w:t>
      </w:r>
      <w:bookmarkEnd w:id="0"/>
      <w:r w:rsidRPr="00BB0A02">
        <w:rPr>
          <w:rFonts w:cstheme="minorHAnsi"/>
          <w:sz w:val="21"/>
          <w:szCs w:val="21"/>
          <w:lang w:val="en-US"/>
        </w:rPr>
        <w:t>the execution of a related party transaction in accordance with Chapter 16a of the Swedish Companies Act</w:t>
      </w:r>
    </w:p>
    <w:p w:rsidR="005F7CA2" w:rsidRPr="00BB0A02" w:rsidP="00087244" w14:paraId="2ABE7A4B" w14:textId="77777777">
      <w:pPr>
        <w:pStyle w:val="ListNumber"/>
        <w:numPr>
          <w:ilvl w:val="0"/>
          <w:numId w:val="4"/>
        </w:numPr>
        <w:spacing w:after="120" w:line="280" w:lineRule="atLeast"/>
        <w:ind w:left="714" w:hanging="357"/>
        <w:contextualSpacing w:val="0"/>
        <w:jc w:val="both"/>
        <w:rPr>
          <w:rFonts w:cstheme="minorHAnsi"/>
          <w:sz w:val="21"/>
          <w:szCs w:val="21"/>
          <w:lang w:val="en-GB"/>
        </w:rPr>
      </w:pPr>
      <w:r w:rsidRPr="00BB0A02">
        <w:rPr>
          <w:rFonts w:cstheme="minorHAnsi"/>
          <w:sz w:val="21"/>
          <w:szCs w:val="21"/>
        </w:rPr>
        <w:t>Closing of the meeting</w:t>
      </w:r>
    </w:p>
    <w:p w:rsidR="00454737" w:rsidRPr="00BB0A02" w:rsidP="003A5AB5" w14:paraId="03029D6F" w14:textId="408ADFF4">
      <w:pPr>
        <w:pStyle w:val="ListNumber"/>
        <w:numPr>
          <w:ilvl w:val="0"/>
          <w:numId w:val="0"/>
        </w:numPr>
        <w:spacing w:after="120" w:line="280" w:lineRule="atLeast"/>
        <w:contextualSpacing w:val="0"/>
        <w:jc w:val="both"/>
        <w:rPr>
          <w:rFonts w:cstheme="minorHAnsi"/>
          <w:sz w:val="21"/>
          <w:szCs w:val="21"/>
          <w:lang w:val="en-GB"/>
        </w:rPr>
      </w:pPr>
      <w:r w:rsidRPr="00BB0A02">
        <w:rPr>
          <w:rFonts w:cstheme="minorHAnsi"/>
          <w:b/>
          <w:sz w:val="21"/>
          <w:szCs w:val="21"/>
        </w:rPr>
        <w:t>Proposed decisions</w:t>
      </w:r>
    </w:p>
    <w:p w:rsidR="00514629" w:rsidRPr="00BB0A02" w:rsidP="003A5AB5" w14:paraId="6B45522B" w14:textId="0BA5AF89">
      <w:pPr>
        <w:tabs>
          <w:tab w:val="left" w:pos="426"/>
        </w:tabs>
        <w:spacing w:after="120"/>
        <w:jc w:val="both"/>
        <w:rPr>
          <w:rFonts w:cstheme="minorHAnsi"/>
          <w:b/>
          <w:sz w:val="21"/>
          <w:szCs w:val="21"/>
          <w:lang w:val="en-GB"/>
        </w:rPr>
      </w:pPr>
      <w:r w:rsidRPr="00BB0A02">
        <w:rPr>
          <w:rFonts w:cstheme="minorHAnsi"/>
          <w:b/>
          <w:sz w:val="21"/>
          <w:szCs w:val="21"/>
          <w:lang w:val="en-GB"/>
        </w:rPr>
        <w:t xml:space="preserve">Item 1: </w:t>
      </w:r>
      <w:r w:rsidRPr="00BB0A02">
        <w:rPr>
          <w:rFonts w:cstheme="minorHAnsi"/>
          <w:b/>
          <w:sz w:val="21"/>
          <w:szCs w:val="21"/>
          <w:lang w:val="en-US"/>
        </w:rPr>
        <w:t>Election of chairman of the meeting</w:t>
      </w:r>
    </w:p>
    <w:p w:rsidR="00454737" w:rsidRPr="00BB0A02" w:rsidP="003A5AB5" w14:paraId="71C1028B" w14:textId="1C03BF70">
      <w:pPr>
        <w:tabs>
          <w:tab w:val="left" w:pos="426"/>
        </w:tabs>
        <w:spacing w:after="120"/>
        <w:jc w:val="both"/>
        <w:rPr>
          <w:rFonts w:cstheme="minorHAnsi"/>
          <w:bCs/>
          <w:sz w:val="21"/>
          <w:szCs w:val="21"/>
          <w:lang w:val="en-GB"/>
        </w:rPr>
      </w:pPr>
      <w:r w:rsidRPr="00BB0A02">
        <w:rPr>
          <w:rFonts w:cstheme="minorHAnsi"/>
          <w:bCs/>
          <w:sz w:val="21"/>
          <w:szCs w:val="21"/>
          <w:lang w:val="en-GB"/>
        </w:rPr>
        <w:t>The board of directors proposes that Simon Lassa from Setterwalls Advokatbyrå be elected as chairman of the meeting or, if unable to attend, the person he designates.</w:t>
      </w:r>
    </w:p>
    <w:p w:rsidR="0070062F" w:rsidRPr="00BB0A02" w:rsidP="0070062F" w14:paraId="0DB28ACD" w14:textId="22663DF9">
      <w:pPr>
        <w:spacing w:after="120" w:line="280" w:lineRule="atLeast"/>
        <w:rPr>
          <w:rFonts w:cstheme="minorHAnsi"/>
          <w:b/>
          <w:sz w:val="21"/>
          <w:szCs w:val="21"/>
          <w:lang w:val="en-GB"/>
        </w:rPr>
      </w:pPr>
      <w:r w:rsidRPr="000B1F24" w:rsidR="000B1F24">
        <w:rPr>
          <w:rFonts w:cstheme="minorHAnsi"/>
          <w:b/>
          <w:bCs/>
          <w:sz w:val="21"/>
          <w:szCs w:val="21"/>
          <w:lang w:val="en-GB"/>
        </w:rPr>
        <w:t>Item 6: Resolution regarding authorization for the board of directors to resolve on issue of shares, warrants and/or convertibles</w:t>
      </w:r>
    </w:p>
    <w:p w:rsidR="0070062F" w:rsidRPr="00BB0A02" w:rsidP="0070062F" w14:paraId="6294235F" w14:textId="6AD18AD6">
      <w:pPr>
        <w:tabs>
          <w:tab w:val="left" w:pos="426"/>
        </w:tabs>
        <w:spacing w:after="120"/>
        <w:jc w:val="both"/>
        <w:rPr>
          <w:rFonts w:cstheme="minorHAnsi"/>
          <w:bCs/>
          <w:iCs/>
          <w:sz w:val="21"/>
          <w:szCs w:val="21"/>
          <w:lang w:val="en-GB"/>
        </w:rPr>
      </w:pPr>
      <w:r w:rsidRPr="00BB0A02" w:rsidR="00581058">
        <w:rPr>
          <w:rFonts w:cstheme="minorHAnsi"/>
          <w:bCs/>
          <w:iCs/>
          <w:sz w:val="21"/>
          <w:szCs w:val="21"/>
          <w:lang w:val="en-GB"/>
        </w:rPr>
        <w:t>The board of directors proposes that the extraordinary general meeting resolves to authorize the board of directors to, up until the next annual general meeting, on one or more occasions, resolve on new issue of shares, warrants, and/or issue of convertibles, with or without deviation from the shareholders’ preferential rights, to a number corresponding to a maximum of twenty (20) percent of the total number of shares in the Company at the time when the authorization is first exercised, to be paid in cash, through non-cash consideration and/or through set-off.</w:t>
      </w:r>
    </w:p>
    <w:p w:rsidR="0070062F" w:rsidRPr="00BB0A02" w:rsidP="0070062F" w14:paraId="5CBD2BF3" w14:textId="4FC8DC24">
      <w:pPr>
        <w:tabs>
          <w:tab w:val="left" w:pos="426"/>
        </w:tabs>
        <w:spacing w:after="120"/>
        <w:jc w:val="both"/>
        <w:rPr>
          <w:rFonts w:cstheme="minorHAnsi"/>
          <w:bCs/>
          <w:iCs/>
          <w:sz w:val="21"/>
          <w:szCs w:val="21"/>
          <w:lang w:val="en-GB"/>
        </w:rPr>
      </w:pPr>
      <w:r w:rsidRPr="00BB0A02">
        <w:rPr>
          <w:rFonts w:cstheme="minorHAnsi"/>
          <w:bCs/>
          <w:iCs/>
          <w:sz w:val="21"/>
          <w:szCs w:val="21"/>
          <w:lang w:val="en-GB"/>
        </w:rPr>
        <w:t>The purpose of the board of directors being able to decide on issues without preferential rights for shareholders as described above is primarily to enable the raising of new capital to increase the Company's flexibility or in connection with acquisitions.</w:t>
      </w:r>
    </w:p>
    <w:p w:rsidR="00581058" w:rsidRPr="00BB0A02" w:rsidP="00581058" w14:paraId="239238FF" w14:textId="20546142">
      <w:pPr>
        <w:tabs>
          <w:tab w:val="left" w:pos="426"/>
        </w:tabs>
        <w:spacing w:after="120"/>
        <w:jc w:val="both"/>
        <w:rPr>
          <w:rFonts w:cstheme="minorHAnsi"/>
          <w:bCs/>
          <w:sz w:val="21"/>
          <w:szCs w:val="21"/>
          <w:lang w:val="en-GB"/>
        </w:rPr>
      </w:pPr>
      <w:r w:rsidRPr="00BB0A02">
        <w:rPr>
          <w:rFonts w:cstheme="minorHAnsi"/>
          <w:bCs/>
          <w:sz w:val="21"/>
          <w:szCs w:val="21"/>
          <w:lang w:val="en-GB"/>
        </w:rPr>
        <w:t>The issue of new shares, warrants or convertibles pursuant to the authorization shall be carried out on customary terms under prevailing market conditions. If the board of directors deems it appropriate to enable the delivery of shares in connection with an issue as described above, this may be done at a subscription price corresponding to the quotient value of the shares.</w:t>
      </w:r>
    </w:p>
    <w:p w:rsidR="00581058" w:rsidRPr="00BB0A02" w:rsidP="00581058" w14:paraId="3BA15C57" w14:textId="7D2FC830">
      <w:pPr>
        <w:tabs>
          <w:tab w:val="left" w:pos="426"/>
        </w:tabs>
        <w:spacing w:after="120"/>
        <w:jc w:val="both"/>
        <w:rPr>
          <w:rFonts w:cstheme="minorHAnsi"/>
          <w:bCs/>
          <w:sz w:val="21"/>
          <w:szCs w:val="21"/>
          <w:lang w:val="en-GB"/>
        </w:rPr>
      </w:pPr>
      <w:r w:rsidRPr="00BB0A02">
        <w:rPr>
          <w:rFonts w:cstheme="minorHAnsi"/>
          <w:bCs/>
          <w:sz w:val="21"/>
          <w:szCs w:val="21"/>
          <w:lang w:val="en-GB"/>
        </w:rPr>
        <w:t>The board of directors, or the person appointed by the board of directors, shall be granted the right to make any adjustments that may be necessary in connection with the registration of the resolution with the Swedish Companies Registration Office.</w:t>
      </w:r>
    </w:p>
    <w:p w:rsidR="00454737" w:rsidRPr="00BB0A02" w:rsidP="003A5AB5" w14:paraId="48448062" w14:textId="3A020F9E">
      <w:pPr>
        <w:tabs>
          <w:tab w:val="left" w:pos="426"/>
        </w:tabs>
        <w:spacing w:after="120"/>
        <w:jc w:val="both"/>
        <w:rPr>
          <w:rFonts w:cstheme="minorHAnsi"/>
          <w:bCs/>
          <w:sz w:val="21"/>
          <w:szCs w:val="21"/>
          <w:lang w:val="en-GB"/>
        </w:rPr>
      </w:pPr>
      <w:r w:rsidRPr="00BB0A02" w:rsidR="0070062F">
        <w:rPr>
          <w:rFonts w:cstheme="minorHAnsi"/>
          <w:b/>
          <w:sz w:val="21"/>
          <w:szCs w:val="21"/>
          <w:lang w:val="en-GB"/>
        </w:rPr>
        <w:t>Item 7</w:t>
      </w:r>
      <w:r w:rsidRPr="00BB0A02" w:rsidR="00B76302">
        <w:rPr>
          <w:rFonts w:cstheme="minorHAnsi"/>
          <w:bCs/>
          <w:sz w:val="21"/>
          <w:szCs w:val="21"/>
          <w:lang w:val="en-GB"/>
        </w:rPr>
        <w:t xml:space="preserve">: </w:t>
      </w:r>
      <w:bookmarkStart w:id="1" w:name="_Hlk214449941"/>
      <w:r w:rsidRPr="00BB0A02">
        <w:rPr>
          <w:rFonts w:cstheme="minorHAnsi"/>
          <w:b/>
          <w:sz w:val="21"/>
          <w:szCs w:val="21"/>
          <w:lang w:val="en-GB"/>
        </w:rPr>
        <w:t>Resolution on the execution of a related party transaction in accordance with Chapter 16a of the Swedish Companies Act</w:t>
      </w:r>
      <w:r w:rsidRPr="00BB0A02">
        <w:rPr>
          <w:rFonts w:cstheme="minorHAnsi"/>
          <w:bCs/>
          <w:sz w:val="21"/>
          <w:szCs w:val="21"/>
          <w:lang w:val="en-GB"/>
        </w:rPr>
        <w:t xml:space="preserve"> </w:t>
      </w:r>
    </w:p>
    <w:p w:rsidR="00BA3810" w:rsidRPr="00581058" w:rsidP="00BA3810" w14:paraId="56153FB5" w14:textId="77777777">
      <w:pPr>
        <w:tabs>
          <w:tab w:val="left" w:pos="426"/>
        </w:tabs>
        <w:spacing w:after="120"/>
        <w:jc w:val="both"/>
        <w:rPr>
          <w:rFonts w:cstheme="minorHAnsi"/>
          <w:sz w:val="21"/>
          <w:szCs w:val="21"/>
          <w:lang w:val="en-GB"/>
        </w:rPr>
      </w:pPr>
      <w:r>
        <w:rPr>
          <w:rFonts w:cstheme="minorHAnsi"/>
          <w:sz w:val="21"/>
          <w:szCs w:val="21"/>
          <w:lang w:val="en-US"/>
        </w:rPr>
        <w:t xml:space="preserve">The board of directors proposes that the general meeting resolve to </w:t>
      </w:r>
      <w:r w:rsidRPr="00581058">
        <w:rPr>
          <w:rFonts w:cstheme="minorHAnsi"/>
          <w:sz w:val="21"/>
          <w:szCs w:val="21"/>
          <w:lang w:val="en-GB"/>
        </w:rPr>
        <w:t xml:space="preserve">approve a significant related party transaction between the Company and Thinc Holding 2 AB, reg. no. </w:t>
      </w:r>
      <w:r w:rsidRPr="0077171E">
        <w:rPr>
          <w:rFonts w:cstheme="minorHAnsi"/>
          <w:sz w:val="21"/>
          <w:szCs w:val="21"/>
          <w:lang w:val="en-US"/>
        </w:rPr>
        <w:t>556900-1166</w:t>
      </w:r>
      <w:r w:rsidRPr="00581058">
        <w:rPr>
          <w:rFonts w:cstheme="minorHAnsi"/>
          <w:sz w:val="21"/>
          <w:szCs w:val="21"/>
          <w:lang w:val="en-GB"/>
        </w:rPr>
        <w:t xml:space="preserve"> (“</w:t>
      </w:r>
      <w:r w:rsidRPr="00581058">
        <w:rPr>
          <w:rFonts w:cstheme="minorHAnsi"/>
          <w:b/>
          <w:bCs/>
          <w:sz w:val="21"/>
          <w:szCs w:val="21"/>
          <w:lang w:val="en-GB"/>
        </w:rPr>
        <w:t>Thinc</w:t>
      </w:r>
      <w:r w:rsidRPr="00581058">
        <w:rPr>
          <w:rFonts w:cstheme="minorHAnsi"/>
          <w:sz w:val="21"/>
          <w:szCs w:val="21"/>
          <w:lang w:val="en-GB"/>
        </w:rPr>
        <w:t>”)</w:t>
      </w:r>
      <w:r>
        <w:rPr>
          <w:rFonts w:cstheme="minorHAnsi"/>
          <w:sz w:val="21"/>
          <w:szCs w:val="21"/>
          <w:lang w:val="en-US"/>
        </w:rPr>
        <w:t xml:space="preserve">, subject to Chapter 16a of the Swedish Companies Act. </w:t>
      </w:r>
      <w:r w:rsidRPr="00581058">
        <w:rPr>
          <w:rFonts w:cstheme="minorHAnsi"/>
          <w:sz w:val="21"/>
          <w:szCs w:val="21"/>
          <w:lang w:val="en-GB"/>
        </w:rPr>
        <w:t>The following conditions shall apply to the resolution.</w:t>
      </w:r>
    </w:p>
    <w:p w:rsidR="00BA3810" w:rsidRPr="00581058" w:rsidP="00BA3810" w14:paraId="0839DE05" w14:textId="77777777">
      <w:pPr>
        <w:tabs>
          <w:tab w:val="left" w:pos="426"/>
        </w:tabs>
        <w:spacing w:after="120"/>
        <w:jc w:val="both"/>
        <w:rPr>
          <w:rFonts w:cstheme="minorHAnsi"/>
          <w:sz w:val="21"/>
          <w:szCs w:val="21"/>
          <w:lang w:val="en-GB"/>
        </w:rPr>
      </w:pPr>
      <w:r w:rsidRPr="00581058">
        <w:rPr>
          <w:rFonts w:cstheme="minorHAnsi"/>
          <w:sz w:val="21"/>
          <w:szCs w:val="21"/>
          <w:lang w:val="en-GB"/>
        </w:rPr>
        <w:t>On 2 December 2025, the Company entered into a share purchase agreement with Thinc, SenPh AB, reg. no. 559336-4481, and Ljumb AB, reg. no. 559477-6956 (together, the “</w:t>
      </w:r>
      <w:r w:rsidRPr="00581058">
        <w:rPr>
          <w:rFonts w:cstheme="minorHAnsi"/>
          <w:b/>
          <w:bCs/>
          <w:sz w:val="21"/>
          <w:szCs w:val="21"/>
          <w:lang w:val="en-GB"/>
        </w:rPr>
        <w:t>Sellers</w:t>
      </w:r>
      <w:r w:rsidRPr="00581058">
        <w:rPr>
          <w:rFonts w:cstheme="minorHAnsi"/>
          <w:sz w:val="21"/>
          <w:szCs w:val="21"/>
          <w:lang w:val="en-GB"/>
        </w:rPr>
        <w:t>”) regarding the Company's acquisition of all 250 shares in TD fastighet AB, reg. no. 559395-5114 (“</w:t>
      </w:r>
      <w:r w:rsidRPr="00581058">
        <w:rPr>
          <w:rFonts w:cstheme="minorHAnsi"/>
          <w:b/>
          <w:bCs/>
          <w:sz w:val="21"/>
          <w:szCs w:val="21"/>
          <w:lang w:val="en-GB"/>
        </w:rPr>
        <w:t>TD fastighet</w:t>
      </w:r>
      <w:r w:rsidRPr="00581058">
        <w:rPr>
          <w:rFonts w:cstheme="minorHAnsi"/>
          <w:sz w:val="21"/>
          <w:szCs w:val="21"/>
          <w:lang w:val="en-GB"/>
        </w:rPr>
        <w:t>”).</w:t>
      </w:r>
    </w:p>
    <w:p w:rsidR="00BA3810" w:rsidP="00BA3810" w14:paraId="2F07226F" w14:textId="77777777">
      <w:pPr>
        <w:tabs>
          <w:tab w:val="left" w:pos="426"/>
        </w:tabs>
        <w:spacing w:after="120"/>
        <w:jc w:val="both"/>
        <w:rPr>
          <w:rFonts w:cstheme="minorHAnsi"/>
          <w:sz w:val="21"/>
          <w:szCs w:val="21"/>
          <w:lang w:val="en-US"/>
        </w:rPr>
      </w:pPr>
      <w:r w:rsidRPr="00581058">
        <w:rPr>
          <w:rFonts w:cstheme="minorHAnsi"/>
          <w:sz w:val="21"/>
          <w:szCs w:val="21"/>
          <w:lang w:val="en-US"/>
        </w:rPr>
        <w:t>Thinc, i.e., one of the Sellers, is controlled and owned by Thomas Dahlstedt, who is also a member of the board of directors and CEO of the Company. Thomas Dahlstedt is thus indirectly a seller of the shares in TD fastighet and is to be regarded as a related party to the Company. The Company's acquisition of TD fastighet from Thinc is therefore subject to Chapter 16a of the Swedish Companies Act.</w:t>
      </w:r>
    </w:p>
    <w:p w:rsidR="00BA3810" w:rsidRPr="00E752BD" w:rsidP="00BA3810" w14:paraId="3FC0D424" w14:textId="77777777">
      <w:pPr>
        <w:tabs>
          <w:tab w:val="left" w:pos="426"/>
        </w:tabs>
        <w:spacing w:after="120"/>
        <w:jc w:val="both"/>
        <w:rPr>
          <w:rFonts w:cstheme="minorHAnsi"/>
          <w:sz w:val="21"/>
          <w:szCs w:val="21"/>
          <w:lang w:val="en-GB"/>
        </w:rPr>
      </w:pPr>
      <w:r w:rsidRPr="00E752BD">
        <w:rPr>
          <w:rFonts w:cstheme="minorHAnsi"/>
          <w:sz w:val="21"/>
          <w:szCs w:val="21"/>
          <w:lang w:val="en-GB"/>
        </w:rPr>
        <w:t xml:space="preserve">Thinc, and indirectly Thomas Dahlstedt, owns </w:t>
      </w:r>
      <w:r w:rsidRPr="0077171E">
        <w:rPr>
          <w:rFonts w:cstheme="minorHAnsi"/>
          <w:sz w:val="21"/>
          <w:szCs w:val="21"/>
          <w:lang w:val="en-US"/>
        </w:rPr>
        <w:t xml:space="preserve">approximately 75 </w:t>
      </w:r>
      <w:r w:rsidRPr="0077171E">
        <w:rPr>
          <w:rFonts w:cstheme="minorHAnsi"/>
          <w:sz w:val="21"/>
          <w:szCs w:val="21"/>
          <w:lang w:val="en-GB"/>
        </w:rPr>
        <w:t xml:space="preserve">percent of the shares in TD fastighet. The value that the related party is expected to receive through the transaction amounts to approximately SEK 63 million. </w:t>
      </w:r>
      <w:r w:rsidRPr="0077171E">
        <w:rPr>
          <w:rFonts w:cstheme="minorHAnsi"/>
          <w:sz w:val="21"/>
          <w:szCs w:val="21"/>
          <w:lang w:val="en-US"/>
        </w:rPr>
        <w:t>Subject to the general meeting’s approval of the related party transaction, the transaction is expected to be completed as soon as possible after such approval</w:t>
      </w:r>
      <w:r w:rsidRPr="0077171E">
        <w:rPr>
          <w:rFonts w:cstheme="minorHAnsi"/>
          <w:sz w:val="21"/>
          <w:szCs w:val="21"/>
          <w:lang w:val="en-GB"/>
        </w:rPr>
        <w:t>.</w:t>
      </w:r>
    </w:p>
    <w:p w:rsidR="00BA3810" w:rsidRPr="00E752BD" w:rsidP="00BA3810" w14:paraId="63973E6B" w14:textId="54F67D43">
      <w:pPr>
        <w:tabs>
          <w:tab w:val="left" w:pos="426"/>
        </w:tabs>
        <w:spacing w:after="120"/>
        <w:jc w:val="both"/>
        <w:rPr>
          <w:rFonts w:cstheme="minorHAnsi"/>
          <w:sz w:val="21"/>
          <w:szCs w:val="21"/>
          <w:lang w:val="en-GB"/>
        </w:rPr>
      </w:pPr>
      <w:r w:rsidRPr="00E752BD">
        <w:rPr>
          <w:rFonts w:cstheme="minorHAnsi"/>
          <w:sz w:val="21"/>
          <w:szCs w:val="21"/>
          <w:lang w:val="en-GB"/>
        </w:rPr>
        <w:t xml:space="preserve">The board of directors of the Company has, in connection with the proposal under this item 7, submitted a report on the transaction. The report is set out in </w:t>
      </w:r>
      <w:r w:rsidRPr="00E752BD">
        <w:rPr>
          <w:rFonts w:cstheme="minorHAnsi"/>
          <w:b/>
          <w:bCs/>
          <w:sz w:val="21"/>
          <w:szCs w:val="21"/>
          <w:lang w:val="en-GB"/>
        </w:rPr>
        <w:t>appendix 7a</w:t>
      </w:r>
      <w:r w:rsidRPr="00E752BD">
        <w:rPr>
          <w:rFonts w:cstheme="minorHAnsi"/>
          <w:sz w:val="21"/>
          <w:szCs w:val="21"/>
          <w:lang w:val="en-GB"/>
        </w:rPr>
        <w:t>.</w:t>
      </w:r>
    </w:p>
    <w:p w:rsidR="00E752BD" w:rsidRPr="00BB0A02" w:rsidP="003A5AB5" w14:paraId="2BAA34D8" w14:textId="1E39157E">
      <w:pPr>
        <w:tabs>
          <w:tab w:val="left" w:pos="426"/>
        </w:tabs>
        <w:spacing w:after="120"/>
        <w:jc w:val="both"/>
        <w:rPr>
          <w:rFonts w:cstheme="minorHAnsi"/>
          <w:sz w:val="21"/>
          <w:szCs w:val="21"/>
          <w:lang w:val="en-GB"/>
        </w:rPr>
      </w:pPr>
      <w:r w:rsidRPr="00BB0A02">
        <w:rPr>
          <w:rFonts w:cstheme="minorHAnsi"/>
          <w:sz w:val="21"/>
          <w:szCs w:val="21"/>
          <w:lang w:val="en-GB"/>
        </w:rPr>
        <w:t>In the general meeting's decision regarding approval of a related party transaction, shares held by the related party shall not be taken into account.</w:t>
      </w:r>
    </w:p>
    <w:p w:rsidR="00620AE6" w:rsidRPr="00BB0A02" w:rsidP="003A5AB5" w14:paraId="7264099F" w14:textId="77777777">
      <w:pPr>
        <w:spacing w:after="120"/>
        <w:rPr>
          <w:rFonts w:cstheme="minorHAnsi"/>
          <w:sz w:val="21"/>
          <w:szCs w:val="21"/>
          <w:lang w:val="en-GB"/>
        </w:rPr>
      </w:pPr>
      <w:bookmarkStart w:id="2" w:name="_Hlk214449917"/>
      <w:bookmarkEnd w:id="1"/>
      <w:r w:rsidRPr="00BB0A02">
        <w:rPr>
          <w:rFonts w:cstheme="minorHAnsi"/>
          <w:b/>
          <w:sz w:val="21"/>
          <w:szCs w:val="21"/>
          <w:lang w:val="en-GB"/>
        </w:rPr>
        <w:t>Majority requirements</w:t>
      </w:r>
    </w:p>
    <w:bookmarkEnd w:id="2"/>
    <w:p w:rsidR="00FB1117" w:rsidRPr="00BB0A02" w:rsidP="003A5AB5" w14:paraId="2524CCA2" w14:textId="69FC9B2E">
      <w:pPr>
        <w:spacing w:after="120"/>
        <w:rPr>
          <w:rFonts w:cstheme="minorHAnsi"/>
          <w:bCs/>
          <w:sz w:val="21"/>
          <w:szCs w:val="21"/>
          <w:lang w:val="en-GB"/>
        </w:rPr>
      </w:pPr>
      <w:r w:rsidRPr="00BB0A02">
        <w:rPr>
          <w:rFonts w:cstheme="minorHAnsi"/>
          <w:bCs/>
          <w:sz w:val="21"/>
          <w:szCs w:val="21"/>
          <w:lang w:val="en-GB"/>
        </w:rPr>
        <w:t>A valid resolution under item 6 requires that the proposal is supported by shareholders with at least two thirds of both the votes cast and shares represented at the extraordinary general meeting. For a decision to be valid under item 7, it must be supported by shareholders representing more than half of the votes cast at the meeting.</w:t>
      </w:r>
    </w:p>
    <w:p w:rsidR="00620AE6" w:rsidRPr="00BB0A02" w:rsidP="003A5AB5" w14:paraId="5A10A5BA" w14:textId="460E1412">
      <w:pPr>
        <w:spacing w:after="120"/>
        <w:rPr>
          <w:rFonts w:cstheme="minorHAnsi"/>
          <w:sz w:val="21"/>
          <w:szCs w:val="21"/>
          <w:lang w:val="en-GB"/>
        </w:rPr>
      </w:pPr>
      <w:r w:rsidRPr="00BB0A02">
        <w:rPr>
          <w:rFonts w:cstheme="minorHAnsi"/>
          <w:b/>
          <w:sz w:val="21"/>
          <w:szCs w:val="21"/>
          <w:lang w:val="en-GB"/>
        </w:rPr>
        <w:t>Number of shares and votes</w:t>
      </w:r>
    </w:p>
    <w:p w:rsidR="00991BEF" w:rsidRPr="00BB0A02" w:rsidP="003A5AB5" w14:paraId="0BF7115E" w14:textId="1C12BB75">
      <w:pPr>
        <w:tabs>
          <w:tab w:val="left" w:pos="426"/>
        </w:tabs>
        <w:spacing w:after="120"/>
        <w:jc w:val="both"/>
        <w:rPr>
          <w:rFonts w:cstheme="minorHAnsi"/>
          <w:bCs/>
          <w:sz w:val="21"/>
          <w:szCs w:val="21"/>
          <w:lang w:val="en-GB"/>
        </w:rPr>
      </w:pPr>
      <w:r w:rsidRPr="00BB0A02">
        <w:rPr>
          <w:rFonts w:cstheme="minorHAnsi"/>
          <w:sz w:val="21"/>
          <w:szCs w:val="21"/>
          <w:lang w:val="en-US"/>
        </w:rPr>
        <w:t>At the time of issuing this notice, the total number of shares in the Company amounts to</w:t>
      </w:r>
      <w:r w:rsidRPr="00BB0A02">
        <w:rPr>
          <w:rFonts w:cstheme="minorHAnsi"/>
          <w:bCs/>
          <w:sz w:val="21"/>
          <w:szCs w:val="21"/>
          <w:lang w:val="en-GB"/>
        </w:rPr>
        <w:t xml:space="preserve"> 12,725,926. The Company does not hold any of its own shares.</w:t>
      </w:r>
    </w:p>
    <w:p w:rsidR="00991BEF" w:rsidRPr="00BB0A02" w:rsidP="003A5AB5" w14:paraId="206204F0" w14:textId="6EE9E70F">
      <w:pPr>
        <w:tabs>
          <w:tab w:val="left" w:pos="426"/>
        </w:tabs>
        <w:spacing w:after="120"/>
        <w:jc w:val="both"/>
        <w:rPr>
          <w:rFonts w:cstheme="minorHAnsi"/>
          <w:b/>
          <w:sz w:val="21"/>
          <w:szCs w:val="21"/>
          <w:lang w:val="en-GB"/>
        </w:rPr>
      </w:pPr>
      <w:r w:rsidRPr="00BB0A02">
        <w:rPr>
          <w:rFonts w:cstheme="minorHAnsi"/>
          <w:b/>
          <w:sz w:val="21"/>
          <w:szCs w:val="21"/>
          <w:lang w:val="en-GB"/>
        </w:rPr>
        <w:t xml:space="preserve">Other </w:t>
      </w:r>
    </w:p>
    <w:p w:rsidR="00620AE6" w:rsidRPr="00BB0A02" w:rsidP="003A5AB5" w14:paraId="40216D8D" w14:textId="1B9CE7CB">
      <w:pPr>
        <w:tabs>
          <w:tab w:val="left" w:pos="426"/>
        </w:tabs>
        <w:spacing w:after="120"/>
        <w:jc w:val="both"/>
        <w:rPr>
          <w:rFonts w:cstheme="minorHAnsi"/>
          <w:bCs/>
          <w:sz w:val="21"/>
          <w:szCs w:val="21"/>
          <w:lang w:val="en-GB"/>
        </w:rPr>
      </w:pPr>
      <w:r w:rsidRPr="00BB0A02">
        <w:rPr>
          <w:rFonts w:cstheme="minorHAnsi"/>
          <w:bCs/>
          <w:sz w:val="21"/>
          <w:szCs w:val="21"/>
          <w:lang w:val="en-GB"/>
        </w:rPr>
        <w:t xml:space="preserve">Power of attorney forms, complete proposals for resolutions, and other documents that must be made available in accordance with the Swedish Companies Act will be available no later than two weeks prior to the meeting. All of the above documents will be available at the Company and on the Company's website, </w:t>
      </w:r>
      <w:r w:rsidRPr="00A97756">
        <w:rPr>
          <w:rStyle w:val="Hyperlink"/>
          <w:sz w:val="21"/>
          <w:szCs w:val="21"/>
          <w:lang w:val="en-GB"/>
        </w:rPr>
        <w:t>holding.nordrest.se</w:t>
      </w:r>
      <w:r w:rsidRPr="00BB0A02">
        <w:rPr>
          <w:rFonts w:cstheme="minorHAnsi"/>
          <w:bCs/>
          <w:sz w:val="21"/>
          <w:szCs w:val="21"/>
          <w:lang w:val="en-GB"/>
        </w:rPr>
        <w:t>, as above, and will be sent to shareholders who request them and provide their email or postal address.</w:t>
      </w:r>
    </w:p>
    <w:p w:rsidR="00620AE6" w:rsidRPr="00BB0A02" w:rsidP="003A5AB5" w14:paraId="7EE550C0" w14:textId="3E57CB8A">
      <w:pPr>
        <w:tabs>
          <w:tab w:val="left" w:pos="426"/>
        </w:tabs>
        <w:spacing w:after="120"/>
        <w:jc w:val="both"/>
        <w:rPr>
          <w:rFonts w:cstheme="minorHAnsi"/>
          <w:sz w:val="21"/>
          <w:szCs w:val="21"/>
          <w:lang w:val="en-US"/>
        </w:rPr>
      </w:pPr>
      <w:r w:rsidRPr="00BB0A02">
        <w:rPr>
          <w:rFonts w:cstheme="minorHAnsi"/>
          <w:sz w:val="21"/>
          <w:szCs w:val="21"/>
          <w:lang w:val="en-US"/>
        </w:rPr>
        <w:t>Shareholders are informed of their right pursuant to Chapter 7, Section 32 of the Swedish Companies Act (2005:551) to request information from the board of directors and the CEO at the general meeting.</w:t>
      </w:r>
    </w:p>
    <w:p w:rsidR="00620AE6" w:rsidRPr="00BB0A02" w:rsidP="003A5AB5" w14:paraId="6D34B71F" w14:textId="77777777">
      <w:pPr>
        <w:spacing w:after="120"/>
        <w:rPr>
          <w:rFonts w:cstheme="minorHAnsi"/>
          <w:sz w:val="21"/>
          <w:szCs w:val="21"/>
          <w:lang w:val="en-GB"/>
        </w:rPr>
      </w:pPr>
      <w:r w:rsidRPr="00BB0A02">
        <w:rPr>
          <w:rFonts w:cstheme="minorHAnsi"/>
          <w:b/>
          <w:sz w:val="21"/>
          <w:szCs w:val="21"/>
          <w:lang w:val="en-GB"/>
        </w:rPr>
        <w:t>Processing of personal data</w:t>
      </w:r>
    </w:p>
    <w:p w:rsidR="00620AE6" w:rsidRPr="00BB0A02" w:rsidP="003A5AB5" w14:paraId="56814348" w14:textId="77777777">
      <w:pPr>
        <w:tabs>
          <w:tab w:val="left" w:pos="426"/>
        </w:tabs>
        <w:spacing w:after="120"/>
        <w:jc w:val="both"/>
        <w:rPr>
          <w:rFonts w:cstheme="minorHAnsi"/>
          <w:bCs/>
          <w:sz w:val="21"/>
          <w:szCs w:val="21"/>
          <w:lang w:val="en-GB"/>
        </w:rPr>
      </w:pPr>
      <w:r w:rsidRPr="00BB0A02">
        <w:rPr>
          <w:rFonts w:cstheme="minorHAnsi"/>
          <w:bCs/>
          <w:sz w:val="21"/>
          <w:szCs w:val="21"/>
          <w:lang w:val="en-GB"/>
        </w:rPr>
        <w:t>For information on how your personal data is processed, please refer to the privacy policy available on Euroclear Sweden AB's website:</w:t>
      </w:r>
    </w:p>
    <w:p w:rsidR="00514629" w:rsidRPr="00BB0A02" w:rsidP="003A5AB5" w14:paraId="3DD2FEC2" w14:textId="2ACEB1A1">
      <w:pPr>
        <w:tabs>
          <w:tab w:val="left" w:pos="426"/>
        </w:tabs>
        <w:spacing w:after="120"/>
        <w:jc w:val="both"/>
        <w:rPr>
          <w:rFonts w:cstheme="minorHAnsi"/>
          <w:bCs/>
          <w:sz w:val="21"/>
          <w:szCs w:val="21"/>
          <w:lang w:val="en-GB"/>
        </w:rPr>
      </w:pPr>
      <w:hyperlink r:id="rId4" w:history="1">
        <w:r w:rsidRPr="00BB0A02">
          <w:rPr>
            <w:rStyle w:val="Hyperlink"/>
            <w:rFonts w:cstheme="minorHAnsi"/>
            <w:bCs/>
            <w:sz w:val="21"/>
            <w:szCs w:val="21"/>
            <w:lang w:val="en-GB"/>
          </w:rPr>
          <w:t>https://www.euroclear.com/dam/ESw/Legal/Integritetspolicy-bolagsstammor-svenska.pdf</w:t>
        </w:r>
      </w:hyperlink>
      <w:r w:rsidRPr="00BB0A02">
        <w:rPr>
          <w:rFonts w:cstheme="minorHAnsi"/>
          <w:bCs/>
          <w:sz w:val="21"/>
          <w:szCs w:val="21"/>
          <w:lang w:val="en-GB"/>
        </w:rPr>
        <w:t xml:space="preserve">. </w:t>
      </w:r>
    </w:p>
    <w:p w:rsidR="006D5DC8" w:rsidRPr="00BB0A02" w:rsidP="003A5AB5" w14:paraId="7CD8E3D2" w14:textId="60EBFC72">
      <w:pPr>
        <w:spacing w:after="120"/>
        <w:jc w:val="center"/>
        <w:rPr>
          <w:rFonts w:cstheme="minorHAnsi"/>
          <w:sz w:val="21"/>
          <w:szCs w:val="21"/>
          <w:lang w:val="en-GB"/>
        </w:rPr>
      </w:pPr>
      <w:r w:rsidRPr="00BB0A02">
        <w:rPr>
          <w:rFonts w:cstheme="minorHAnsi"/>
          <w:sz w:val="21"/>
          <w:szCs w:val="21"/>
          <w:lang w:val="en-GB"/>
        </w:rPr>
        <w:t>_____________________</w:t>
      </w:r>
    </w:p>
    <w:p w:rsidR="006D5DC8" w:rsidRPr="00BB0A02" w:rsidP="003A5AB5" w14:paraId="27A8E8F9" w14:textId="13609304">
      <w:pPr>
        <w:spacing w:after="120"/>
        <w:jc w:val="center"/>
        <w:rPr>
          <w:rFonts w:cstheme="minorHAnsi"/>
          <w:sz w:val="21"/>
          <w:szCs w:val="21"/>
          <w:lang w:val="en-GB"/>
        </w:rPr>
      </w:pPr>
      <w:r w:rsidRPr="00BB0A02" w:rsidR="00087244">
        <w:rPr>
          <w:rFonts w:cstheme="minorHAnsi"/>
          <w:sz w:val="21"/>
          <w:szCs w:val="21"/>
          <w:lang w:val="en-GB"/>
        </w:rPr>
        <w:t>Stockholm in December, 2025</w:t>
      </w:r>
    </w:p>
    <w:p w:rsidR="00541557" w:rsidRPr="00BB0A02" w:rsidP="003A5AB5" w14:paraId="21A17BBE" w14:textId="6FA8FB66">
      <w:pPr>
        <w:spacing w:after="120"/>
        <w:jc w:val="center"/>
        <w:rPr>
          <w:rFonts w:cstheme="minorHAnsi"/>
          <w:sz w:val="21"/>
          <w:szCs w:val="21"/>
          <w:lang w:val="en-GB"/>
        </w:rPr>
      </w:pPr>
      <w:r w:rsidRPr="00BB0A02" w:rsidR="00991BEF">
        <w:rPr>
          <w:rFonts w:cstheme="minorHAnsi"/>
          <w:sz w:val="21"/>
          <w:szCs w:val="21"/>
          <w:lang w:val="en-GB"/>
        </w:rPr>
        <w:t>The board of directors of Nordrest Holding AB</w:t>
      </w:r>
    </w:p>
    <w:sectPr w:rsidSect="007E2A0C">
      <w:headerReference w:type="even" r:id="rId5"/>
      <w:headerReference w:type="default" r:id="rId6"/>
      <w:footerReference w:type="even" r:id="rId7"/>
      <w:footerReference w:type="default" r:id="rId8"/>
      <w:headerReference w:type="first" r:id="rId9"/>
      <w:footerReference w:type="first" r:id="rId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810" w14:paraId="331449F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3914" w14:paraId="230CD73C" w14:textId="4AAA6404">
    <w:pPr>
      <w:pStyle w:val="Footer"/>
    </w:pPr>
    <w:r>
      <w:rPr>
        <w:noProof/>
      </w:rPr>
      <mc:AlternateContent>
        <mc:Choice Requires="wps">
          <w:drawing>
            <wp:anchor distT="0" distB="0" distL="114300" distR="114300" simplePos="0" relativeHeight="251658240" behindDoc="0" locked="0" layoutInCell="1" allowOverlap="1">
              <wp:simplePos x="0" y="0"/>
              <wp:positionH relativeFrom="column">
                <wp:posOffset>108585</wp:posOffset>
              </wp:positionH>
              <wp:positionV relativeFrom="paragraph">
                <wp:posOffset>8554085</wp:posOffset>
              </wp:positionV>
              <wp:extent cx="360000" cy="1584000"/>
              <wp:effectExtent l="0" t="0" r="0" b="0"/>
              <wp:wrapNone/>
              <wp:docPr id="83007049" name="Textruta 1" descr="DocID"/>
              <wp:cNvGraphicFramePr/>
              <a:graphic xmlns:a="http://schemas.openxmlformats.org/drawingml/2006/main">
                <a:graphicData uri="http://schemas.microsoft.com/office/word/2010/wordprocessingShape">
                  <wps:wsp xmlns:wps="http://schemas.microsoft.com/office/word/2010/wordprocessingShape">
                    <wps:cNvSpPr txBox="1"/>
                    <wps:spPr>
                      <a:xfrm>
                        <a:off x="0" y="0"/>
                        <a:ext cx="360000" cy="1584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5320E5" w:rsidRPr="00D77DC4" w14:textId="186C0AE5">
                          <w:pPr>
                            <w:rPr>
                              <w:rFonts w:ascii="Arial" w:hAnsi="Arial" w:cs="Arial"/>
                              <w:color w:val="A0A0A0"/>
                              <w:sz w:val="13"/>
                            </w:rPr>
                          </w:pPr>
                          <w:r w:rsidRPr="00D77DC4">
                            <w:rPr>
                              <w:rFonts w:ascii="Arial" w:hAnsi="Arial" w:cs="Arial"/>
                              <w:color w:val="A0A0A0"/>
                              <w:sz w:val="13"/>
                            </w:rPr>
                            <w:t>SW45582147/4</w:t>
                          </w:r>
                        </w:p>
                      </w:txbxContent>
                    </wps:txbx>
                    <wps:bodyPr rot="0" spcFirstLastPara="0" vertOverflow="overflow" horzOverflow="overflow" vert="mongolianVert"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ruta 1" o:spid="_x0000_s2049" type="#_x0000_t202" alt="DocID" style="width:28.35pt;height:124.7pt;margin-top:673.55pt;margin-left:8.55pt;mso-wrap-distance-bottom:0;mso-wrap-distance-left:9pt;mso-wrap-distance-right:9pt;mso-wrap-distance-top:0;mso-wrap-style:square;position:absolute;visibility:visible;v-text-anchor:top;z-index:251659264" filled="f" stroked="f" strokeweight="0.5pt">
              <v:textbox style="layout-flow:vertical">
                <w:txbxContent>
                  <w:p w:rsidR="005320E5" w:rsidRPr="00D77DC4" w14:paraId="2E0C25C0" w14:textId="186C0AE5">
                    <w:pPr>
                      <w:rPr>
                        <w:rFonts w:ascii="Arial" w:hAnsi="Arial" w:cs="Arial"/>
                        <w:color w:val="A0A0A0"/>
                        <w:sz w:val="13"/>
                      </w:rPr>
                    </w:pPr>
                    <w:r w:rsidRPr="00D77DC4">
                      <w:rPr>
                        <w:rFonts w:ascii="Arial" w:hAnsi="Arial" w:cs="Arial"/>
                        <w:color w:val="A0A0A0"/>
                        <w:sz w:val="13"/>
                      </w:rPr>
                      <w:t>SW45582147/4</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810" w14:paraId="4E06BD4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810" w14:paraId="1E0AF38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1164" w:rsidP="005F1164" w14:paraId="78EA71A6" w14:textId="34DCC24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810" w14:paraId="457FC9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FFFFFF88"/>
    <w:multiLevelType w:val="singleLevel"/>
    <w:tmpl w:val="1CAC665C"/>
    <w:lvl w:ilvl="0">
      <w:start w:val="1"/>
      <w:numFmt w:val="decimal"/>
      <w:pStyle w:val="ListNumber"/>
      <w:lvlText w:val="%1."/>
      <w:lvlJc w:val="left"/>
      <w:pPr>
        <w:tabs>
          <w:tab w:val="num" w:pos="360"/>
        </w:tabs>
        <w:ind w:left="360" w:hanging="360"/>
      </w:pPr>
    </w:lvl>
  </w:abstractNum>
  <w:abstractNum w:abstractNumId="1" w15:restartNumberingAfterBreak="0">
    <w:nsid w:val="347932E6"/>
    <w:multiLevelType w:val="multilevel"/>
    <w:tmpl w:val="AAF873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E45A92"/>
    <w:multiLevelType w:val="hybridMultilevel"/>
    <w:tmpl w:val="BEE4D08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45CF67D9"/>
    <w:multiLevelType w:val="hybridMultilevel"/>
    <w:tmpl w:val="BEE4D08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5B8D6B7F"/>
    <w:multiLevelType w:val="multilevel"/>
    <w:tmpl w:val="A7641D30"/>
    <w:styleLink w:val="Setterwallsnumrering"/>
    <w:lvl w:ilvl="0">
      <w:start w:val="1"/>
      <w:numFmt w:val="decimal"/>
      <w:lvlText w:val="%1."/>
      <w:lvlJc w:val="left"/>
      <w:pPr>
        <w:tabs>
          <w:tab w:val="num" w:pos="907"/>
        </w:tabs>
        <w:ind w:left="907" w:hanging="907"/>
      </w:pPr>
      <w:rPr>
        <w:rFonts w:hint="default"/>
      </w:rPr>
    </w:lvl>
    <w:lvl w:ilvl="1">
      <w:start w:val="1"/>
      <w:numFmt w:val="decimal"/>
      <w:lvlText w:val="%1.%2"/>
      <w:lvlJc w:val="left"/>
      <w:pPr>
        <w:tabs>
          <w:tab w:val="num" w:pos="1190"/>
        </w:tabs>
        <w:ind w:left="1190"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4.%5"/>
      <w:lvlJc w:val="left"/>
      <w:pPr>
        <w:tabs>
          <w:tab w:val="num" w:pos="907"/>
        </w:tabs>
        <w:ind w:left="907" w:hanging="907"/>
      </w:pPr>
      <w:rPr>
        <w:rFonts w:hint="default"/>
      </w:rPr>
    </w:lvl>
    <w:lvl w:ilvl="5">
      <w:start w:val="1"/>
      <w:numFmt w:val="decimal"/>
      <w:lvlText w:val="%4.%5.%6"/>
      <w:lvlJc w:val="left"/>
      <w:pPr>
        <w:tabs>
          <w:tab w:val="num" w:pos="907"/>
        </w:tabs>
        <w:ind w:left="907" w:hanging="907"/>
      </w:pPr>
      <w:rPr>
        <w:rFonts w:hint="default"/>
      </w:rPr>
    </w:lvl>
    <w:lvl w:ilvl="6">
      <w:start w:val="1"/>
      <w:numFmt w:val="decimal"/>
      <w:lvlText w:val="%4.%5.%6.%7"/>
      <w:lvlJc w:val="left"/>
      <w:pPr>
        <w:tabs>
          <w:tab w:val="num" w:pos="907"/>
        </w:tabs>
        <w:ind w:left="907" w:hanging="907"/>
      </w:pPr>
      <w:rPr>
        <w:rFonts w:hint="default"/>
      </w:rPr>
    </w:lvl>
    <w:lvl w:ilvl="7">
      <w:start w:val="1"/>
      <w:numFmt w:val="lowerLetter"/>
      <w:lvlRestart w:val="0"/>
      <w:lvlText w:val="(%8)"/>
      <w:lvlJc w:val="left"/>
      <w:pPr>
        <w:tabs>
          <w:tab w:val="num" w:pos="1418"/>
        </w:tabs>
        <w:ind w:left="1418" w:hanging="511"/>
      </w:pPr>
      <w:rPr>
        <w:rFonts w:hint="default"/>
      </w:rPr>
    </w:lvl>
    <w:lvl w:ilvl="8">
      <w:start w:val="1"/>
      <w:numFmt w:val="lowerRoman"/>
      <w:lvlRestart w:val="0"/>
      <w:lvlText w:val="(%9)"/>
      <w:lvlJc w:val="left"/>
      <w:pPr>
        <w:tabs>
          <w:tab w:val="num" w:pos="1928"/>
        </w:tabs>
        <w:ind w:left="1928" w:hanging="510"/>
      </w:pPr>
      <w:rPr>
        <w:rFonts w:hint="default"/>
      </w:rPr>
    </w:lvl>
  </w:abstractNum>
  <w:abstractNum w:abstractNumId="5" w15:restartNumberingAfterBreak="0">
    <w:nsid w:val="6BD81CBE"/>
    <w:multiLevelType w:val="multilevel"/>
    <w:tmpl w:val="324CE050"/>
    <w:styleLink w:val="SetterwallsNumreradlista"/>
    <w:lvl w:ilvl="0">
      <w:start w:val="1"/>
      <w:numFmt w:val="decimal"/>
      <w:lvlText w:val="%1."/>
      <w:lvlJc w:val="left"/>
      <w:pPr>
        <w:tabs>
          <w:tab w:val="num" w:pos="907"/>
        </w:tabs>
        <w:ind w:left="907" w:hanging="90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32626739">
    <w:abstractNumId w:val="4"/>
  </w:num>
  <w:num w:numId="2" w16cid:durableId="408505899">
    <w:abstractNumId w:val="0"/>
  </w:num>
  <w:num w:numId="3" w16cid:durableId="373046541">
    <w:abstractNumId w:val="5"/>
  </w:num>
  <w:num w:numId="4" w16cid:durableId="1440248919">
    <w:abstractNumId w:val="1"/>
  </w:num>
  <w:num w:numId="5" w16cid:durableId="1803036680">
    <w:abstractNumId w:val="3"/>
  </w:num>
  <w:num w:numId="6" w16cid:durableId="174857225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511"/>
    <w:rsid w:val="000032EA"/>
    <w:rsid w:val="00003483"/>
    <w:rsid w:val="000039F6"/>
    <w:rsid w:val="000044B8"/>
    <w:rsid w:val="00005B43"/>
    <w:rsid w:val="00006073"/>
    <w:rsid w:val="00006411"/>
    <w:rsid w:val="0000674D"/>
    <w:rsid w:val="00014DDD"/>
    <w:rsid w:val="00023A8C"/>
    <w:rsid w:val="0002671D"/>
    <w:rsid w:val="00026995"/>
    <w:rsid w:val="00032108"/>
    <w:rsid w:val="0003265D"/>
    <w:rsid w:val="0003445E"/>
    <w:rsid w:val="0003492B"/>
    <w:rsid w:val="00034EAA"/>
    <w:rsid w:val="00035A99"/>
    <w:rsid w:val="000406E7"/>
    <w:rsid w:val="00041BCA"/>
    <w:rsid w:val="000425D6"/>
    <w:rsid w:val="00042AED"/>
    <w:rsid w:val="0004339A"/>
    <w:rsid w:val="00044148"/>
    <w:rsid w:val="000457E1"/>
    <w:rsid w:val="00050072"/>
    <w:rsid w:val="000510A8"/>
    <w:rsid w:val="00051395"/>
    <w:rsid w:val="00051B05"/>
    <w:rsid w:val="00057CCA"/>
    <w:rsid w:val="00061788"/>
    <w:rsid w:val="00063054"/>
    <w:rsid w:val="00063CF9"/>
    <w:rsid w:val="00066B57"/>
    <w:rsid w:val="00066EBD"/>
    <w:rsid w:val="00067618"/>
    <w:rsid w:val="000677CF"/>
    <w:rsid w:val="000703BC"/>
    <w:rsid w:val="00076612"/>
    <w:rsid w:val="00076755"/>
    <w:rsid w:val="00086C02"/>
    <w:rsid w:val="00087244"/>
    <w:rsid w:val="000906BF"/>
    <w:rsid w:val="00091E4D"/>
    <w:rsid w:val="000921A3"/>
    <w:rsid w:val="000968FE"/>
    <w:rsid w:val="000975E6"/>
    <w:rsid w:val="000A1164"/>
    <w:rsid w:val="000B05AE"/>
    <w:rsid w:val="000B1F24"/>
    <w:rsid w:val="000B4230"/>
    <w:rsid w:val="000B533A"/>
    <w:rsid w:val="000B7114"/>
    <w:rsid w:val="000B7EB7"/>
    <w:rsid w:val="000B7EBA"/>
    <w:rsid w:val="000C454C"/>
    <w:rsid w:val="000D2D14"/>
    <w:rsid w:val="000D5373"/>
    <w:rsid w:val="000F275E"/>
    <w:rsid w:val="000F36A6"/>
    <w:rsid w:val="000F557E"/>
    <w:rsid w:val="000F55DD"/>
    <w:rsid w:val="000F6FFA"/>
    <w:rsid w:val="00102062"/>
    <w:rsid w:val="00103A87"/>
    <w:rsid w:val="00104C4E"/>
    <w:rsid w:val="001107AD"/>
    <w:rsid w:val="00113D65"/>
    <w:rsid w:val="00117C8B"/>
    <w:rsid w:val="00121F98"/>
    <w:rsid w:val="0012267C"/>
    <w:rsid w:val="0012449A"/>
    <w:rsid w:val="001263EE"/>
    <w:rsid w:val="00127968"/>
    <w:rsid w:val="00131971"/>
    <w:rsid w:val="00140FCD"/>
    <w:rsid w:val="001461D3"/>
    <w:rsid w:val="00151233"/>
    <w:rsid w:val="00151866"/>
    <w:rsid w:val="00152B5A"/>
    <w:rsid w:val="00154B15"/>
    <w:rsid w:val="00155145"/>
    <w:rsid w:val="00156737"/>
    <w:rsid w:val="00161B3B"/>
    <w:rsid w:val="00163914"/>
    <w:rsid w:val="00166D97"/>
    <w:rsid w:val="001715A5"/>
    <w:rsid w:val="00171D1B"/>
    <w:rsid w:val="00173716"/>
    <w:rsid w:val="00173755"/>
    <w:rsid w:val="001746D0"/>
    <w:rsid w:val="00177440"/>
    <w:rsid w:val="0018289E"/>
    <w:rsid w:val="00184D02"/>
    <w:rsid w:val="001905D7"/>
    <w:rsid w:val="00193149"/>
    <w:rsid w:val="001932A5"/>
    <w:rsid w:val="001933A8"/>
    <w:rsid w:val="0019456B"/>
    <w:rsid w:val="00194E0C"/>
    <w:rsid w:val="00195A9B"/>
    <w:rsid w:val="0019648F"/>
    <w:rsid w:val="001972E0"/>
    <w:rsid w:val="001973E6"/>
    <w:rsid w:val="001A4079"/>
    <w:rsid w:val="001A68C5"/>
    <w:rsid w:val="001B092E"/>
    <w:rsid w:val="001B52B3"/>
    <w:rsid w:val="001B594C"/>
    <w:rsid w:val="001C2DE5"/>
    <w:rsid w:val="001C3F85"/>
    <w:rsid w:val="001D4F6C"/>
    <w:rsid w:val="001D6F87"/>
    <w:rsid w:val="001D6FAA"/>
    <w:rsid w:val="001E0718"/>
    <w:rsid w:val="001E48FB"/>
    <w:rsid w:val="001E6B66"/>
    <w:rsid w:val="001E6F4F"/>
    <w:rsid w:val="001F2BD2"/>
    <w:rsid w:val="001F35C0"/>
    <w:rsid w:val="001F7DC1"/>
    <w:rsid w:val="002045A8"/>
    <w:rsid w:val="00205574"/>
    <w:rsid w:val="0020577C"/>
    <w:rsid w:val="002062C3"/>
    <w:rsid w:val="00207115"/>
    <w:rsid w:val="00207820"/>
    <w:rsid w:val="00210E74"/>
    <w:rsid w:val="00210F87"/>
    <w:rsid w:val="00211C89"/>
    <w:rsid w:val="002125F8"/>
    <w:rsid w:val="0021368F"/>
    <w:rsid w:val="0021642F"/>
    <w:rsid w:val="002176A9"/>
    <w:rsid w:val="00222E74"/>
    <w:rsid w:val="002232DB"/>
    <w:rsid w:val="00224515"/>
    <w:rsid w:val="00233B05"/>
    <w:rsid w:val="002340D0"/>
    <w:rsid w:val="002355D1"/>
    <w:rsid w:val="002362DD"/>
    <w:rsid w:val="00236E57"/>
    <w:rsid w:val="002371E8"/>
    <w:rsid w:val="002377B6"/>
    <w:rsid w:val="00237B5B"/>
    <w:rsid w:val="00241201"/>
    <w:rsid w:val="00244472"/>
    <w:rsid w:val="002444F9"/>
    <w:rsid w:val="00246B71"/>
    <w:rsid w:val="00253B50"/>
    <w:rsid w:val="00255EB8"/>
    <w:rsid w:val="00256D7B"/>
    <w:rsid w:val="00263641"/>
    <w:rsid w:val="0026543E"/>
    <w:rsid w:val="00267E4C"/>
    <w:rsid w:val="00276539"/>
    <w:rsid w:val="0028109C"/>
    <w:rsid w:val="002822B6"/>
    <w:rsid w:val="002834A3"/>
    <w:rsid w:val="00283749"/>
    <w:rsid w:val="00284B22"/>
    <w:rsid w:val="002864A9"/>
    <w:rsid w:val="0028787C"/>
    <w:rsid w:val="0029160D"/>
    <w:rsid w:val="002928A3"/>
    <w:rsid w:val="00292E16"/>
    <w:rsid w:val="00292EA2"/>
    <w:rsid w:val="00294B3A"/>
    <w:rsid w:val="002A0037"/>
    <w:rsid w:val="002A017C"/>
    <w:rsid w:val="002A35E1"/>
    <w:rsid w:val="002A5668"/>
    <w:rsid w:val="002A5835"/>
    <w:rsid w:val="002A6E61"/>
    <w:rsid w:val="002B3D92"/>
    <w:rsid w:val="002C0055"/>
    <w:rsid w:val="002C260E"/>
    <w:rsid w:val="002C2E14"/>
    <w:rsid w:val="002C3AFC"/>
    <w:rsid w:val="002C68A3"/>
    <w:rsid w:val="002D009B"/>
    <w:rsid w:val="002D3B7B"/>
    <w:rsid w:val="002D41FC"/>
    <w:rsid w:val="002D4539"/>
    <w:rsid w:val="002E045A"/>
    <w:rsid w:val="002E2DAD"/>
    <w:rsid w:val="002E4B0B"/>
    <w:rsid w:val="002E56B4"/>
    <w:rsid w:val="002E68A1"/>
    <w:rsid w:val="002F15C8"/>
    <w:rsid w:val="002F318B"/>
    <w:rsid w:val="002F5012"/>
    <w:rsid w:val="002F773D"/>
    <w:rsid w:val="00300196"/>
    <w:rsid w:val="00301398"/>
    <w:rsid w:val="00304FFF"/>
    <w:rsid w:val="00314A16"/>
    <w:rsid w:val="003179EB"/>
    <w:rsid w:val="003203F2"/>
    <w:rsid w:val="00321DC7"/>
    <w:rsid w:val="00323065"/>
    <w:rsid w:val="00326EB1"/>
    <w:rsid w:val="00330A1E"/>
    <w:rsid w:val="00330E45"/>
    <w:rsid w:val="00333EB0"/>
    <w:rsid w:val="00333F50"/>
    <w:rsid w:val="00334755"/>
    <w:rsid w:val="003352ED"/>
    <w:rsid w:val="00335FE1"/>
    <w:rsid w:val="003360E5"/>
    <w:rsid w:val="00337445"/>
    <w:rsid w:val="00337618"/>
    <w:rsid w:val="00341FE7"/>
    <w:rsid w:val="00344879"/>
    <w:rsid w:val="00345C2D"/>
    <w:rsid w:val="00352580"/>
    <w:rsid w:val="003533D2"/>
    <w:rsid w:val="003645FE"/>
    <w:rsid w:val="00364BC4"/>
    <w:rsid w:val="00367A43"/>
    <w:rsid w:val="0037348E"/>
    <w:rsid w:val="00373C0D"/>
    <w:rsid w:val="00374F41"/>
    <w:rsid w:val="00375837"/>
    <w:rsid w:val="00376243"/>
    <w:rsid w:val="00381A9D"/>
    <w:rsid w:val="003829C2"/>
    <w:rsid w:val="003864DF"/>
    <w:rsid w:val="00386944"/>
    <w:rsid w:val="0038736F"/>
    <w:rsid w:val="0038787D"/>
    <w:rsid w:val="003905E4"/>
    <w:rsid w:val="00391281"/>
    <w:rsid w:val="003926EA"/>
    <w:rsid w:val="00393AA8"/>
    <w:rsid w:val="00395531"/>
    <w:rsid w:val="003A0ECE"/>
    <w:rsid w:val="003A2343"/>
    <w:rsid w:val="003A338C"/>
    <w:rsid w:val="003A47C7"/>
    <w:rsid w:val="003A5AB5"/>
    <w:rsid w:val="003B1358"/>
    <w:rsid w:val="003B1856"/>
    <w:rsid w:val="003B2D0E"/>
    <w:rsid w:val="003B4BED"/>
    <w:rsid w:val="003B5DF2"/>
    <w:rsid w:val="003B633A"/>
    <w:rsid w:val="003B7671"/>
    <w:rsid w:val="003B7911"/>
    <w:rsid w:val="003C0868"/>
    <w:rsid w:val="003C1123"/>
    <w:rsid w:val="003C36AF"/>
    <w:rsid w:val="003C46E1"/>
    <w:rsid w:val="003C554E"/>
    <w:rsid w:val="003C5F7B"/>
    <w:rsid w:val="003C7589"/>
    <w:rsid w:val="003C793D"/>
    <w:rsid w:val="003D07B7"/>
    <w:rsid w:val="003D12B3"/>
    <w:rsid w:val="003D1AB7"/>
    <w:rsid w:val="003D6C88"/>
    <w:rsid w:val="003E70B0"/>
    <w:rsid w:val="003E7D86"/>
    <w:rsid w:val="003F0645"/>
    <w:rsid w:val="003F13F9"/>
    <w:rsid w:val="003F16DB"/>
    <w:rsid w:val="003F2EAF"/>
    <w:rsid w:val="003F3D35"/>
    <w:rsid w:val="003F756A"/>
    <w:rsid w:val="004007A6"/>
    <w:rsid w:val="00403EF3"/>
    <w:rsid w:val="004078AF"/>
    <w:rsid w:val="0041385E"/>
    <w:rsid w:val="00414C33"/>
    <w:rsid w:val="004156DF"/>
    <w:rsid w:val="00415746"/>
    <w:rsid w:val="0042092D"/>
    <w:rsid w:val="00420E39"/>
    <w:rsid w:val="00420E7A"/>
    <w:rsid w:val="0042269D"/>
    <w:rsid w:val="0042687A"/>
    <w:rsid w:val="00431E27"/>
    <w:rsid w:val="0043228F"/>
    <w:rsid w:val="0043354B"/>
    <w:rsid w:val="00433FFE"/>
    <w:rsid w:val="00435FDC"/>
    <w:rsid w:val="00440685"/>
    <w:rsid w:val="00441D8A"/>
    <w:rsid w:val="00441DA4"/>
    <w:rsid w:val="00444709"/>
    <w:rsid w:val="004453F4"/>
    <w:rsid w:val="00451DCB"/>
    <w:rsid w:val="00454737"/>
    <w:rsid w:val="00456884"/>
    <w:rsid w:val="00464ECF"/>
    <w:rsid w:val="004703B9"/>
    <w:rsid w:val="00470CB3"/>
    <w:rsid w:val="00472845"/>
    <w:rsid w:val="004742CE"/>
    <w:rsid w:val="00475FED"/>
    <w:rsid w:val="00480B11"/>
    <w:rsid w:val="00480D44"/>
    <w:rsid w:val="00480E34"/>
    <w:rsid w:val="00481019"/>
    <w:rsid w:val="004815BA"/>
    <w:rsid w:val="00483128"/>
    <w:rsid w:val="0048508C"/>
    <w:rsid w:val="004866F6"/>
    <w:rsid w:val="00494B98"/>
    <w:rsid w:val="004956CF"/>
    <w:rsid w:val="004956E4"/>
    <w:rsid w:val="004962FE"/>
    <w:rsid w:val="004A2E5D"/>
    <w:rsid w:val="004A38ED"/>
    <w:rsid w:val="004A53D3"/>
    <w:rsid w:val="004A7D86"/>
    <w:rsid w:val="004B24BE"/>
    <w:rsid w:val="004B62B5"/>
    <w:rsid w:val="004B658D"/>
    <w:rsid w:val="004C1CB4"/>
    <w:rsid w:val="004C1ECA"/>
    <w:rsid w:val="004C2567"/>
    <w:rsid w:val="004C261F"/>
    <w:rsid w:val="004C6E37"/>
    <w:rsid w:val="004C7663"/>
    <w:rsid w:val="004C76B3"/>
    <w:rsid w:val="004D0BFA"/>
    <w:rsid w:val="004D1EC2"/>
    <w:rsid w:val="004D246E"/>
    <w:rsid w:val="004D37D7"/>
    <w:rsid w:val="004D4FD7"/>
    <w:rsid w:val="004D5346"/>
    <w:rsid w:val="004D5B15"/>
    <w:rsid w:val="004D5B4A"/>
    <w:rsid w:val="004D70E4"/>
    <w:rsid w:val="004E2A3A"/>
    <w:rsid w:val="004E4C3A"/>
    <w:rsid w:val="004E5AD9"/>
    <w:rsid w:val="004E7210"/>
    <w:rsid w:val="004F33E7"/>
    <w:rsid w:val="004F491A"/>
    <w:rsid w:val="004F4F06"/>
    <w:rsid w:val="00500592"/>
    <w:rsid w:val="00502060"/>
    <w:rsid w:val="0050421B"/>
    <w:rsid w:val="00504557"/>
    <w:rsid w:val="00505790"/>
    <w:rsid w:val="00510E72"/>
    <w:rsid w:val="005112A0"/>
    <w:rsid w:val="00511D6C"/>
    <w:rsid w:val="0051318B"/>
    <w:rsid w:val="005133ED"/>
    <w:rsid w:val="005138D0"/>
    <w:rsid w:val="00514629"/>
    <w:rsid w:val="00521A39"/>
    <w:rsid w:val="00525BA0"/>
    <w:rsid w:val="00530EA4"/>
    <w:rsid w:val="005320E5"/>
    <w:rsid w:val="005356E7"/>
    <w:rsid w:val="00535A50"/>
    <w:rsid w:val="0054096A"/>
    <w:rsid w:val="00541557"/>
    <w:rsid w:val="00541F88"/>
    <w:rsid w:val="005428EC"/>
    <w:rsid w:val="005430B1"/>
    <w:rsid w:val="00543573"/>
    <w:rsid w:val="005443B1"/>
    <w:rsid w:val="00551803"/>
    <w:rsid w:val="005600EE"/>
    <w:rsid w:val="005601A7"/>
    <w:rsid w:val="00560ECB"/>
    <w:rsid w:val="005635DF"/>
    <w:rsid w:val="00566B1E"/>
    <w:rsid w:val="00566F5E"/>
    <w:rsid w:val="00567D5F"/>
    <w:rsid w:val="00571335"/>
    <w:rsid w:val="00572123"/>
    <w:rsid w:val="00572CE9"/>
    <w:rsid w:val="00576FFF"/>
    <w:rsid w:val="00580162"/>
    <w:rsid w:val="00581058"/>
    <w:rsid w:val="0058356D"/>
    <w:rsid w:val="00584356"/>
    <w:rsid w:val="00585689"/>
    <w:rsid w:val="00585969"/>
    <w:rsid w:val="005901DB"/>
    <w:rsid w:val="00595579"/>
    <w:rsid w:val="00595C41"/>
    <w:rsid w:val="0059636C"/>
    <w:rsid w:val="005969F3"/>
    <w:rsid w:val="00596F93"/>
    <w:rsid w:val="005A000A"/>
    <w:rsid w:val="005A0CFE"/>
    <w:rsid w:val="005A2468"/>
    <w:rsid w:val="005A2EB7"/>
    <w:rsid w:val="005A5802"/>
    <w:rsid w:val="005A7392"/>
    <w:rsid w:val="005A7BC3"/>
    <w:rsid w:val="005B0C07"/>
    <w:rsid w:val="005B7C4C"/>
    <w:rsid w:val="005C2062"/>
    <w:rsid w:val="005C5BF4"/>
    <w:rsid w:val="005C6C08"/>
    <w:rsid w:val="005D0AEE"/>
    <w:rsid w:val="005D0D11"/>
    <w:rsid w:val="005D6CD9"/>
    <w:rsid w:val="005E1E8F"/>
    <w:rsid w:val="005E57B1"/>
    <w:rsid w:val="005F0AF9"/>
    <w:rsid w:val="005F1164"/>
    <w:rsid w:val="005F1BE7"/>
    <w:rsid w:val="005F4462"/>
    <w:rsid w:val="005F7CA2"/>
    <w:rsid w:val="00601D01"/>
    <w:rsid w:val="00606D10"/>
    <w:rsid w:val="0061227C"/>
    <w:rsid w:val="00612E9E"/>
    <w:rsid w:val="00615DC5"/>
    <w:rsid w:val="00620AE6"/>
    <w:rsid w:val="0062147F"/>
    <w:rsid w:val="006228D8"/>
    <w:rsid w:val="00622D4B"/>
    <w:rsid w:val="006240C9"/>
    <w:rsid w:val="00624EDF"/>
    <w:rsid w:val="00626482"/>
    <w:rsid w:val="006308C9"/>
    <w:rsid w:val="00631596"/>
    <w:rsid w:val="006320BB"/>
    <w:rsid w:val="00633688"/>
    <w:rsid w:val="00633B8F"/>
    <w:rsid w:val="006427A4"/>
    <w:rsid w:val="00642ACC"/>
    <w:rsid w:val="00646C2D"/>
    <w:rsid w:val="00651B94"/>
    <w:rsid w:val="006526CD"/>
    <w:rsid w:val="00655C68"/>
    <w:rsid w:val="006606FC"/>
    <w:rsid w:val="00665945"/>
    <w:rsid w:val="00667F59"/>
    <w:rsid w:val="00670BB9"/>
    <w:rsid w:val="00673F11"/>
    <w:rsid w:val="00674038"/>
    <w:rsid w:val="00674E97"/>
    <w:rsid w:val="00675725"/>
    <w:rsid w:val="00675B9E"/>
    <w:rsid w:val="0067662B"/>
    <w:rsid w:val="006807E6"/>
    <w:rsid w:val="00682D23"/>
    <w:rsid w:val="00683A32"/>
    <w:rsid w:val="00684977"/>
    <w:rsid w:val="006870C2"/>
    <w:rsid w:val="006909B5"/>
    <w:rsid w:val="00693681"/>
    <w:rsid w:val="00695646"/>
    <w:rsid w:val="006961CC"/>
    <w:rsid w:val="006A095C"/>
    <w:rsid w:val="006A475E"/>
    <w:rsid w:val="006C206A"/>
    <w:rsid w:val="006C3D53"/>
    <w:rsid w:val="006D1145"/>
    <w:rsid w:val="006D5DC8"/>
    <w:rsid w:val="006D5EDA"/>
    <w:rsid w:val="006E1113"/>
    <w:rsid w:val="006E585B"/>
    <w:rsid w:val="006F0349"/>
    <w:rsid w:val="006F1183"/>
    <w:rsid w:val="006F1E27"/>
    <w:rsid w:val="006F79CA"/>
    <w:rsid w:val="007000E2"/>
    <w:rsid w:val="0070062F"/>
    <w:rsid w:val="00702041"/>
    <w:rsid w:val="00703A68"/>
    <w:rsid w:val="007044D7"/>
    <w:rsid w:val="007129DA"/>
    <w:rsid w:val="00712ECB"/>
    <w:rsid w:val="00717612"/>
    <w:rsid w:val="0072258B"/>
    <w:rsid w:val="00722D66"/>
    <w:rsid w:val="00722F13"/>
    <w:rsid w:val="00723BFE"/>
    <w:rsid w:val="007271E5"/>
    <w:rsid w:val="007302C3"/>
    <w:rsid w:val="0073210B"/>
    <w:rsid w:val="00736C2C"/>
    <w:rsid w:val="00741637"/>
    <w:rsid w:val="00743A41"/>
    <w:rsid w:val="00743C5C"/>
    <w:rsid w:val="007449AF"/>
    <w:rsid w:val="0074646B"/>
    <w:rsid w:val="00746DB0"/>
    <w:rsid w:val="00753565"/>
    <w:rsid w:val="0075487A"/>
    <w:rsid w:val="00754A7F"/>
    <w:rsid w:val="00756692"/>
    <w:rsid w:val="007620A1"/>
    <w:rsid w:val="00764156"/>
    <w:rsid w:val="007652B2"/>
    <w:rsid w:val="0076602A"/>
    <w:rsid w:val="00770094"/>
    <w:rsid w:val="00771307"/>
    <w:rsid w:val="00771522"/>
    <w:rsid w:val="0077171E"/>
    <w:rsid w:val="00773731"/>
    <w:rsid w:val="007769DC"/>
    <w:rsid w:val="0078039D"/>
    <w:rsid w:val="00782C3F"/>
    <w:rsid w:val="00786B5C"/>
    <w:rsid w:val="00787987"/>
    <w:rsid w:val="00791409"/>
    <w:rsid w:val="00791F46"/>
    <w:rsid w:val="007A0647"/>
    <w:rsid w:val="007A06B3"/>
    <w:rsid w:val="007A1B5D"/>
    <w:rsid w:val="007A2E7B"/>
    <w:rsid w:val="007A3FE3"/>
    <w:rsid w:val="007A5A12"/>
    <w:rsid w:val="007A6251"/>
    <w:rsid w:val="007A7AA6"/>
    <w:rsid w:val="007B16DD"/>
    <w:rsid w:val="007B3FFF"/>
    <w:rsid w:val="007B4FC9"/>
    <w:rsid w:val="007B6310"/>
    <w:rsid w:val="007B7AB7"/>
    <w:rsid w:val="007B7D9B"/>
    <w:rsid w:val="007C11CC"/>
    <w:rsid w:val="007C2301"/>
    <w:rsid w:val="007C6C69"/>
    <w:rsid w:val="007D27D6"/>
    <w:rsid w:val="007D2826"/>
    <w:rsid w:val="007D2FCB"/>
    <w:rsid w:val="007D619D"/>
    <w:rsid w:val="007E2A0C"/>
    <w:rsid w:val="007E5C45"/>
    <w:rsid w:val="007E7872"/>
    <w:rsid w:val="007F17F9"/>
    <w:rsid w:val="007F2642"/>
    <w:rsid w:val="007F3747"/>
    <w:rsid w:val="007F44DB"/>
    <w:rsid w:val="007F45B3"/>
    <w:rsid w:val="007F4B23"/>
    <w:rsid w:val="007F5958"/>
    <w:rsid w:val="007F614C"/>
    <w:rsid w:val="007F67E6"/>
    <w:rsid w:val="00801916"/>
    <w:rsid w:val="00802401"/>
    <w:rsid w:val="00803737"/>
    <w:rsid w:val="00805A86"/>
    <w:rsid w:val="00810DBB"/>
    <w:rsid w:val="008122A6"/>
    <w:rsid w:val="008125C0"/>
    <w:rsid w:val="008128C5"/>
    <w:rsid w:val="008129ED"/>
    <w:rsid w:val="008219ED"/>
    <w:rsid w:val="00821A15"/>
    <w:rsid w:val="00822513"/>
    <w:rsid w:val="00822BF0"/>
    <w:rsid w:val="0082543F"/>
    <w:rsid w:val="008254CF"/>
    <w:rsid w:val="008257B0"/>
    <w:rsid w:val="00841733"/>
    <w:rsid w:val="0084181D"/>
    <w:rsid w:val="00841A74"/>
    <w:rsid w:val="00843125"/>
    <w:rsid w:val="00845651"/>
    <w:rsid w:val="00845744"/>
    <w:rsid w:val="00845A19"/>
    <w:rsid w:val="00846AC8"/>
    <w:rsid w:val="008477C2"/>
    <w:rsid w:val="00850A03"/>
    <w:rsid w:val="0085426B"/>
    <w:rsid w:val="00860534"/>
    <w:rsid w:val="008625B1"/>
    <w:rsid w:val="008669A2"/>
    <w:rsid w:val="00871B2F"/>
    <w:rsid w:val="008734B7"/>
    <w:rsid w:val="00873C3B"/>
    <w:rsid w:val="00877C49"/>
    <w:rsid w:val="00880176"/>
    <w:rsid w:val="00883EEB"/>
    <w:rsid w:val="00887DC3"/>
    <w:rsid w:val="00890735"/>
    <w:rsid w:val="008953D5"/>
    <w:rsid w:val="00897675"/>
    <w:rsid w:val="008A4B07"/>
    <w:rsid w:val="008A6DDB"/>
    <w:rsid w:val="008A6EC2"/>
    <w:rsid w:val="008B14B2"/>
    <w:rsid w:val="008B3867"/>
    <w:rsid w:val="008B3F78"/>
    <w:rsid w:val="008B7FC4"/>
    <w:rsid w:val="008C2FD7"/>
    <w:rsid w:val="008C5EFE"/>
    <w:rsid w:val="008C724A"/>
    <w:rsid w:val="008C7B66"/>
    <w:rsid w:val="008D06C6"/>
    <w:rsid w:val="008D3698"/>
    <w:rsid w:val="008D37E1"/>
    <w:rsid w:val="008D392E"/>
    <w:rsid w:val="008D3B7C"/>
    <w:rsid w:val="008D45E9"/>
    <w:rsid w:val="008D473C"/>
    <w:rsid w:val="008D5E08"/>
    <w:rsid w:val="008D7082"/>
    <w:rsid w:val="008D7FC2"/>
    <w:rsid w:val="008E316C"/>
    <w:rsid w:val="008E4E6F"/>
    <w:rsid w:val="008E57BA"/>
    <w:rsid w:val="008E7023"/>
    <w:rsid w:val="008E75D5"/>
    <w:rsid w:val="008E7839"/>
    <w:rsid w:val="008E7B7C"/>
    <w:rsid w:val="008E7EB6"/>
    <w:rsid w:val="008F3F28"/>
    <w:rsid w:val="008F5291"/>
    <w:rsid w:val="008F6B64"/>
    <w:rsid w:val="00900287"/>
    <w:rsid w:val="00901191"/>
    <w:rsid w:val="00903D83"/>
    <w:rsid w:val="0090447A"/>
    <w:rsid w:val="009058E3"/>
    <w:rsid w:val="00906782"/>
    <w:rsid w:val="00906CC1"/>
    <w:rsid w:val="0091163D"/>
    <w:rsid w:val="00912277"/>
    <w:rsid w:val="0091514D"/>
    <w:rsid w:val="00923CC8"/>
    <w:rsid w:val="00930408"/>
    <w:rsid w:val="009308AC"/>
    <w:rsid w:val="00932565"/>
    <w:rsid w:val="00932D5B"/>
    <w:rsid w:val="00936324"/>
    <w:rsid w:val="00936D0B"/>
    <w:rsid w:val="00940412"/>
    <w:rsid w:val="009443D1"/>
    <w:rsid w:val="009454D5"/>
    <w:rsid w:val="009505DB"/>
    <w:rsid w:val="00954021"/>
    <w:rsid w:val="00954496"/>
    <w:rsid w:val="009572D5"/>
    <w:rsid w:val="009622B5"/>
    <w:rsid w:val="009628C5"/>
    <w:rsid w:val="00963ABB"/>
    <w:rsid w:val="00971B37"/>
    <w:rsid w:val="00971C3A"/>
    <w:rsid w:val="00973AB0"/>
    <w:rsid w:val="00974C61"/>
    <w:rsid w:val="00983B55"/>
    <w:rsid w:val="00985B49"/>
    <w:rsid w:val="009867C4"/>
    <w:rsid w:val="009919B8"/>
    <w:rsid w:val="00991BEF"/>
    <w:rsid w:val="00994D5C"/>
    <w:rsid w:val="009A2B45"/>
    <w:rsid w:val="009A6415"/>
    <w:rsid w:val="009A6820"/>
    <w:rsid w:val="009A7BE2"/>
    <w:rsid w:val="009B1D95"/>
    <w:rsid w:val="009B3DC4"/>
    <w:rsid w:val="009B72FE"/>
    <w:rsid w:val="009C2596"/>
    <w:rsid w:val="009C537E"/>
    <w:rsid w:val="009C64F6"/>
    <w:rsid w:val="009D0859"/>
    <w:rsid w:val="009D0F22"/>
    <w:rsid w:val="009D14DC"/>
    <w:rsid w:val="009D46F1"/>
    <w:rsid w:val="009D5BCE"/>
    <w:rsid w:val="009D732F"/>
    <w:rsid w:val="009E3DD1"/>
    <w:rsid w:val="009E5CD8"/>
    <w:rsid w:val="009E7940"/>
    <w:rsid w:val="009F29BE"/>
    <w:rsid w:val="009F6110"/>
    <w:rsid w:val="009F66B4"/>
    <w:rsid w:val="00A06D69"/>
    <w:rsid w:val="00A1092C"/>
    <w:rsid w:val="00A10C24"/>
    <w:rsid w:val="00A10CA4"/>
    <w:rsid w:val="00A12AFD"/>
    <w:rsid w:val="00A12B26"/>
    <w:rsid w:val="00A217C6"/>
    <w:rsid w:val="00A21F9E"/>
    <w:rsid w:val="00A25BA4"/>
    <w:rsid w:val="00A27137"/>
    <w:rsid w:val="00A27448"/>
    <w:rsid w:val="00A30A67"/>
    <w:rsid w:val="00A32C22"/>
    <w:rsid w:val="00A37F5E"/>
    <w:rsid w:val="00A401DC"/>
    <w:rsid w:val="00A473FE"/>
    <w:rsid w:val="00A51716"/>
    <w:rsid w:val="00A547B0"/>
    <w:rsid w:val="00A55C23"/>
    <w:rsid w:val="00A576E8"/>
    <w:rsid w:val="00A603CF"/>
    <w:rsid w:val="00A62A3B"/>
    <w:rsid w:val="00A65052"/>
    <w:rsid w:val="00A72340"/>
    <w:rsid w:val="00A72C65"/>
    <w:rsid w:val="00A764B4"/>
    <w:rsid w:val="00A779B6"/>
    <w:rsid w:val="00A81679"/>
    <w:rsid w:val="00A81F39"/>
    <w:rsid w:val="00A83190"/>
    <w:rsid w:val="00A91D71"/>
    <w:rsid w:val="00A97020"/>
    <w:rsid w:val="00A97756"/>
    <w:rsid w:val="00AA2458"/>
    <w:rsid w:val="00AA2949"/>
    <w:rsid w:val="00AA5440"/>
    <w:rsid w:val="00AA5C27"/>
    <w:rsid w:val="00AB18A0"/>
    <w:rsid w:val="00AB32DE"/>
    <w:rsid w:val="00AC0329"/>
    <w:rsid w:val="00AC0E6C"/>
    <w:rsid w:val="00AC1262"/>
    <w:rsid w:val="00AC29BC"/>
    <w:rsid w:val="00AC7E5B"/>
    <w:rsid w:val="00AD34F6"/>
    <w:rsid w:val="00AD4D07"/>
    <w:rsid w:val="00AD5AE8"/>
    <w:rsid w:val="00AD5B04"/>
    <w:rsid w:val="00AD5CBD"/>
    <w:rsid w:val="00AD6322"/>
    <w:rsid w:val="00AE1F57"/>
    <w:rsid w:val="00AE247F"/>
    <w:rsid w:val="00AE638B"/>
    <w:rsid w:val="00AE65B3"/>
    <w:rsid w:val="00AE7249"/>
    <w:rsid w:val="00AE7507"/>
    <w:rsid w:val="00AE7B7A"/>
    <w:rsid w:val="00AF04BF"/>
    <w:rsid w:val="00AF3A71"/>
    <w:rsid w:val="00AF5C06"/>
    <w:rsid w:val="00AF69B1"/>
    <w:rsid w:val="00AF70E1"/>
    <w:rsid w:val="00B01E75"/>
    <w:rsid w:val="00B02CA6"/>
    <w:rsid w:val="00B0355A"/>
    <w:rsid w:val="00B0554F"/>
    <w:rsid w:val="00B05D54"/>
    <w:rsid w:val="00B06336"/>
    <w:rsid w:val="00B06714"/>
    <w:rsid w:val="00B11901"/>
    <w:rsid w:val="00B11A20"/>
    <w:rsid w:val="00B11CE4"/>
    <w:rsid w:val="00B17359"/>
    <w:rsid w:val="00B21553"/>
    <w:rsid w:val="00B22E2B"/>
    <w:rsid w:val="00B2454B"/>
    <w:rsid w:val="00B34513"/>
    <w:rsid w:val="00B35544"/>
    <w:rsid w:val="00B35810"/>
    <w:rsid w:val="00B35F5C"/>
    <w:rsid w:val="00B36C35"/>
    <w:rsid w:val="00B36FDD"/>
    <w:rsid w:val="00B37707"/>
    <w:rsid w:val="00B41C94"/>
    <w:rsid w:val="00B4678C"/>
    <w:rsid w:val="00B46F6A"/>
    <w:rsid w:val="00B52511"/>
    <w:rsid w:val="00B52959"/>
    <w:rsid w:val="00B53E6D"/>
    <w:rsid w:val="00B6316D"/>
    <w:rsid w:val="00B710D1"/>
    <w:rsid w:val="00B716B8"/>
    <w:rsid w:val="00B75004"/>
    <w:rsid w:val="00B76302"/>
    <w:rsid w:val="00B80BFC"/>
    <w:rsid w:val="00B82AC2"/>
    <w:rsid w:val="00B84FF7"/>
    <w:rsid w:val="00B901BD"/>
    <w:rsid w:val="00B9359E"/>
    <w:rsid w:val="00B943DF"/>
    <w:rsid w:val="00B96F8B"/>
    <w:rsid w:val="00BA108C"/>
    <w:rsid w:val="00BA1D6D"/>
    <w:rsid w:val="00BA3810"/>
    <w:rsid w:val="00BA66C2"/>
    <w:rsid w:val="00BB0A02"/>
    <w:rsid w:val="00BB0BE9"/>
    <w:rsid w:val="00BB1A96"/>
    <w:rsid w:val="00BB59F3"/>
    <w:rsid w:val="00BC10F3"/>
    <w:rsid w:val="00BC143F"/>
    <w:rsid w:val="00BC17F8"/>
    <w:rsid w:val="00BC7320"/>
    <w:rsid w:val="00BD0E37"/>
    <w:rsid w:val="00BD1212"/>
    <w:rsid w:val="00BD1F1C"/>
    <w:rsid w:val="00BD273F"/>
    <w:rsid w:val="00BD42FD"/>
    <w:rsid w:val="00BD6084"/>
    <w:rsid w:val="00BD61EE"/>
    <w:rsid w:val="00BE07E4"/>
    <w:rsid w:val="00BE1913"/>
    <w:rsid w:val="00BE3243"/>
    <w:rsid w:val="00BE5B79"/>
    <w:rsid w:val="00BF3EFE"/>
    <w:rsid w:val="00BF4618"/>
    <w:rsid w:val="00BF660D"/>
    <w:rsid w:val="00C00A8B"/>
    <w:rsid w:val="00C00C78"/>
    <w:rsid w:val="00C07774"/>
    <w:rsid w:val="00C107C9"/>
    <w:rsid w:val="00C13AEF"/>
    <w:rsid w:val="00C13F54"/>
    <w:rsid w:val="00C15C21"/>
    <w:rsid w:val="00C15E2E"/>
    <w:rsid w:val="00C16052"/>
    <w:rsid w:val="00C16A61"/>
    <w:rsid w:val="00C217D0"/>
    <w:rsid w:val="00C25AA5"/>
    <w:rsid w:val="00C2794D"/>
    <w:rsid w:val="00C3006C"/>
    <w:rsid w:val="00C30F80"/>
    <w:rsid w:val="00C3233A"/>
    <w:rsid w:val="00C333CC"/>
    <w:rsid w:val="00C33AF6"/>
    <w:rsid w:val="00C34FF8"/>
    <w:rsid w:val="00C36854"/>
    <w:rsid w:val="00C37117"/>
    <w:rsid w:val="00C37499"/>
    <w:rsid w:val="00C42233"/>
    <w:rsid w:val="00C434C5"/>
    <w:rsid w:val="00C435FE"/>
    <w:rsid w:val="00C4477E"/>
    <w:rsid w:val="00C465BC"/>
    <w:rsid w:val="00C469A3"/>
    <w:rsid w:val="00C475F5"/>
    <w:rsid w:val="00C505AC"/>
    <w:rsid w:val="00C5147D"/>
    <w:rsid w:val="00C53A2B"/>
    <w:rsid w:val="00C5663C"/>
    <w:rsid w:val="00C56EF2"/>
    <w:rsid w:val="00C57BE7"/>
    <w:rsid w:val="00C615B4"/>
    <w:rsid w:val="00C61AB7"/>
    <w:rsid w:val="00C63E8A"/>
    <w:rsid w:val="00C66D77"/>
    <w:rsid w:val="00C67C62"/>
    <w:rsid w:val="00C70068"/>
    <w:rsid w:val="00C70442"/>
    <w:rsid w:val="00C726BE"/>
    <w:rsid w:val="00C729C0"/>
    <w:rsid w:val="00C72F7E"/>
    <w:rsid w:val="00C74BA8"/>
    <w:rsid w:val="00C757F3"/>
    <w:rsid w:val="00C8605C"/>
    <w:rsid w:val="00C87982"/>
    <w:rsid w:val="00C93AA0"/>
    <w:rsid w:val="00C94E30"/>
    <w:rsid w:val="00C94E45"/>
    <w:rsid w:val="00C95A35"/>
    <w:rsid w:val="00C95C83"/>
    <w:rsid w:val="00C96524"/>
    <w:rsid w:val="00C96AAD"/>
    <w:rsid w:val="00CA3D0F"/>
    <w:rsid w:val="00CA416D"/>
    <w:rsid w:val="00CA6A8C"/>
    <w:rsid w:val="00CA7A40"/>
    <w:rsid w:val="00CB3341"/>
    <w:rsid w:val="00CB470D"/>
    <w:rsid w:val="00CB67C9"/>
    <w:rsid w:val="00CC11BC"/>
    <w:rsid w:val="00CC1862"/>
    <w:rsid w:val="00CD1DE8"/>
    <w:rsid w:val="00CD2AD4"/>
    <w:rsid w:val="00CD2ECC"/>
    <w:rsid w:val="00CD4D1D"/>
    <w:rsid w:val="00CE2A88"/>
    <w:rsid w:val="00CE48E9"/>
    <w:rsid w:val="00CE5F3F"/>
    <w:rsid w:val="00CE7EBE"/>
    <w:rsid w:val="00CF39AB"/>
    <w:rsid w:val="00CF3D69"/>
    <w:rsid w:val="00CF41A0"/>
    <w:rsid w:val="00CF68E9"/>
    <w:rsid w:val="00D04C04"/>
    <w:rsid w:val="00D04D3D"/>
    <w:rsid w:val="00D076C8"/>
    <w:rsid w:val="00D116F4"/>
    <w:rsid w:val="00D13724"/>
    <w:rsid w:val="00D1511D"/>
    <w:rsid w:val="00D209FB"/>
    <w:rsid w:val="00D20EAC"/>
    <w:rsid w:val="00D20F37"/>
    <w:rsid w:val="00D24928"/>
    <w:rsid w:val="00D34728"/>
    <w:rsid w:val="00D400D9"/>
    <w:rsid w:val="00D42AA6"/>
    <w:rsid w:val="00D43565"/>
    <w:rsid w:val="00D43776"/>
    <w:rsid w:val="00D43E0F"/>
    <w:rsid w:val="00D44C4B"/>
    <w:rsid w:val="00D4702B"/>
    <w:rsid w:val="00D50511"/>
    <w:rsid w:val="00D52AD8"/>
    <w:rsid w:val="00D54BE2"/>
    <w:rsid w:val="00D55E85"/>
    <w:rsid w:val="00D57B1A"/>
    <w:rsid w:val="00D61EEA"/>
    <w:rsid w:val="00D63BDF"/>
    <w:rsid w:val="00D65849"/>
    <w:rsid w:val="00D66A33"/>
    <w:rsid w:val="00D71DC1"/>
    <w:rsid w:val="00D73E36"/>
    <w:rsid w:val="00D74414"/>
    <w:rsid w:val="00D75C1B"/>
    <w:rsid w:val="00D77DC4"/>
    <w:rsid w:val="00D83105"/>
    <w:rsid w:val="00D83C91"/>
    <w:rsid w:val="00D83E37"/>
    <w:rsid w:val="00D861F3"/>
    <w:rsid w:val="00D91100"/>
    <w:rsid w:val="00D9287D"/>
    <w:rsid w:val="00D94AC7"/>
    <w:rsid w:val="00D94FD4"/>
    <w:rsid w:val="00D952F2"/>
    <w:rsid w:val="00DA7D4B"/>
    <w:rsid w:val="00DB128A"/>
    <w:rsid w:val="00DB440D"/>
    <w:rsid w:val="00DB72E3"/>
    <w:rsid w:val="00DC064D"/>
    <w:rsid w:val="00DC266C"/>
    <w:rsid w:val="00DC34AF"/>
    <w:rsid w:val="00DC7572"/>
    <w:rsid w:val="00DD0C10"/>
    <w:rsid w:val="00DD6ABC"/>
    <w:rsid w:val="00DE3B05"/>
    <w:rsid w:val="00DE4798"/>
    <w:rsid w:val="00DF315B"/>
    <w:rsid w:val="00DF35E4"/>
    <w:rsid w:val="00DF38B1"/>
    <w:rsid w:val="00DF3DEC"/>
    <w:rsid w:val="00DF3ED4"/>
    <w:rsid w:val="00DF49D2"/>
    <w:rsid w:val="00DF63DB"/>
    <w:rsid w:val="00DF653F"/>
    <w:rsid w:val="00E01703"/>
    <w:rsid w:val="00E02998"/>
    <w:rsid w:val="00E02EC6"/>
    <w:rsid w:val="00E035DD"/>
    <w:rsid w:val="00E10B58"/>
    <w:rsid w:val="00E11ECC"/>
    <w:rsid w:val="00E1544D"/>
    <w:rsid w:val="00E31849"/>
    <w:rsid w:val="00E33B5E"/>
    <w:rsid w:val="00E34195"/>
    <w:rsid w:val="00E41F79"/>
    <w:rsid w:val="00E42895"/>
    <w:rsid w:val="00E50448"/>
    <w:rsid w:val="00E53763"/>
    <w:rsid w:val="00E53EE8"/>
    <w:rsid w:val="00E56907"/>
    <w:rsid w:val="00E60DF0"/>
    <w:rsid w:val="00E61F5C"/>
    <w:rsid w:val="00E62792"/>
    <w:rsid w:val="00E639AE"/>
    <w:rsid w:val="00E644A8"/>
    <w:rsid w:val="00E64EF9"/>
    <w:rsid w:val="00E660B7"/>
    <w:rsid w:val="00E66215"/>
    <w:rsid w:val="00E666EF"/>
    <w:rsid w:val="00E66BD2"/>
    <w:rsid w:val="00E67985"/>
    <w:rsid w:val="00E724FC"/>
    <w:rsid w:val="00E752BD"/>
    <w:rsid w:val="00E854F8"/>
    <w:rsid w:val="00E90056"/>
    <w:rsid w:val="00E916CB"/>
    <w:rsid w:val="00E91DE9"/>
    <w:rsid w:val="00E9207B"/>
    <w:rsid w:val="00E9379C"/>
    <w:rsid w:val="00EA2247"/>
    <w:rsid w:val="00EA2CAF"/>
    <w:rsid w:val="00EA34E8"/>
    <w:rsid w:val="00EA36D7"/>
    <w:rsid w:val="00EA473D"/>
    <w:rsid w:val="00EA513E"/>
    <w:rsid w:val="00EA5542"/>
    <w:rsid w:val="00EA5EF4"/>
    <w:rsid w:val="00EB0905"/>
    <w:rsid w:val="00EB2CD7"/>
    <w:rsid w:val="00EB3D05"/>
    <w:rsid w:val="00EB4220"/>
    <w:rsid w:val="00EC2A89"/>
    <w:rsid w:val="00EC2DED"/>
    <w:rsid w:val="00EC4FCD"/>
    <w:rsid w:val="00EC7651"/>
    <w:rsid w:val="00ED11ED"/>
    <w:rsid w:val="00ED2915"/>
    <w:rsid w:val="00ED487E"/>
    <w:rsid w:val="00EE1470"/>
    <w:rsid w:val="00EE477D"/>
    <w:rsid w:val="00EE79E3"/>
    <w:rsid w:val="00EF0C78"/>
    <w:rsid w:val="00EF7FF7"/>
    <w:rsid w:val="00F04071"/>
    <w:rsid w:val="00F0482C"/>
    <w:rsid w:val="00F100D6"/>
    <w:rsid w:val="00F1771B"/>
    <w:rsid w:val="00F241AA"/>
    <w:rsid w:val="00F25954"/>
    <w:rsid w:val="00F26E80"/>
    <w:rsid w:val="00F27CD8"/>
    <w:rsid w:val="00F31B2E"/>
    <w:rsid w:val="00F33B5A"/>
    <w:rsid w:val="00F360E5"/>
    <w:rsid w:val="00F36BF1"/>
    <w:rsid w:val="00F371E7"/>
    <w:rsid w:val="00F37492"/>
    <w:rsid w:val="00F37AC6"/>
    <w:rsid w:val="00F44B4A"/>
    <w:rsid w:val="00F45388"/>
    <w:rsid w:val="00F504C2"/>
    <w:rsid w:val="00F5478C"/>
    <w:rsid w:val="00F55F1A"/>
    <w:rsid w:val="00F56D93"/>
    <w:rsid w:val="00F60D41"/>
    <w:rsid w:val="00F66390"/>
    <w:rsid w:val="00F66D5B"/>
    <w:rsid w:val="00F66DCC"/>
    <w:rsid w:val="00F72E11"/>
    <w:rsid w:val="00F7540D"/>
    <w:rsid w:val="00F75E97"/>
    <w:rsid w:val="00F765A9"/>
    <w:rsid w:val="00F77F0C"/>
    <w:rsid w:val="00F807C1"/>
    <w:rsid w:val="00F80AAE"/>
    <w:rsid w:val="00F8187E"/>
    <w:rsid w:val="00F83DA0"/>
    <w:rsid w:val="00F86180"/>
    <w:rsid w:val="00F90A44"/>
    <w:rsid w:val="00F91AAB"/>
    <w:rsid w:val="00F925A8"/>
    <w:rsid w:val="00F953F0"/>
    <w:rsid w:val="00F95B59"/>
    <w:rsid w:val="00F97BF7"/>
    <w:rsid w:val="00FA43BD"/>
    <w:rsid w:val="00FA56FD"/>
    <w:rsid w:val="00FA716D"/>
    <w:rsid w:val="00FB1117"/>
    <w:rsid w:val="00FB26CF"/>
    <w:rsid w:val="00FB3617"/>
    <w:rsid w:val="00FB690F"/>
    <w:rsid w:val="00FB6DB9"/>
    <w:rsid w:val="00FC1CF4"/>
    <w:rsid w:val="00FC29A9"/>
    <w:rsid w:val="00FD0C82"/>
    <w:rsid w:val="00FD1218"/>
    <w:rsid w:val="00FD16BC"/>
    <w:rsid w:val="00FD244A"/>
    <w:rsid w:val="00FD2544"/>
    <w:rsid w:val="00FD3428"/>
    <w:rsid w:val="00FD3597"/>
    <w:rsid w:val="00FD5983"/>
    <w:rsid w:val="00FD5C67"/>
    <w:rsid w:val="00FD6783"/>
    <w:rsid w:val="00FD7A72"/>
    <w:rsid w:val="00FE3E26"/>
    <w:rsid w:val="00FE3ED9"/>
    <w:rsid w:val="00FE4B4E"/>
    <w:rsid w:val="00FE4C89"/>
    <w:rsid w:val="00FE6E95"/>
    <w:rsid w:val="00FE7205"/>
    <w:rsid w:val="00FF04C9"/>
    <w:rsid w:val="00FF0643"/>
    <w:rsid w:val="00FF25EA"/>
    <w:rsid w:val="00FF6592"/>
  </w:rsid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doNotIncludeSubdocsInStats/>
  <w14:docId w14:val="281284E9"/>
  <w15:docId w15:val="{4050578B-B269-4D2B-A2CE-AE4E8D87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4"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Rubrik1Char"/>
    <w:uiPriority w:val="9"/>
    <w:qFormat/>
    <w:rsid w:val="001D6F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Rubrik2Char"/>
    <w:uiPriority w:val="9"/>
    <w:semiHidden/>
    <w:unhideWhenUsed/>
    <w:qFormat/>
    <w:rsid w:val="001D6F8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Rubrik3Char"/>
    <w:uiPriority w:val="9"/>
    <w:semiHidden/>
    <w:unhideWhenUsed/>
    <w:qFormat/>
    <w:rsid w:val="001D6F8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80BFC"/>
    <w:rPr>
      <w:color w:val="0000FF" w:themeColor="hyperlink"/>
      <w:u w:val="single"/>
    </w:rPr>
  </w:style>
  <w:style w:type="paragraph" w:styleId="Header">
    <w:name w:val="header"/>
    <w:basedOn w:val="Normal"/>
    <w:link w:val="SidhuvudChar"/>
    <w:uiPriority w:val="99"/>
    <w:unhideWhenUsed/>
    <w:rsid w:val="005F1164"/>
    <w:pPr>
      <w:tabs>
        <w:tab w:val="center" w:pos="4536"/>
        <w:tab w:val="right" w:pos="9072"/>
      </w:tabs>
      <w:spacing w:after="0" w:line="240" w:lineRule="auto"/>
    </w:pPr>
  </w:style>
  <w:style w:type="character" w:customStyle="1" w:styleId="SidhuvudChar">
    <w:name w:val="Sidhuvud Char"/>
    <w:basedOn w:val="DefaultParagraphFont"/>
    <w:link w:val="Header"/>
    <w:uiPriority w:val="99"/>
    <w:rsid w:val="005F1164"/>
  </w:style>
  <w:style w:type="paragraph" w:styleId="Footer">
    <w:name w:val="footer"/>
    <w:basedOn w:val="Normal"/>
    <w:link w:val="SidfotChar"/>
    <w:uiPriority w:val="99"/>
    <w:unhideWhenUsed/>
    <w:rsid w:val="005F1164"/>
    <w:pPr>
      <w:tabs>
        <w:tab w:val="center" w:pos="4536"/>
        <w:tab w:val="right" w:pos="9072"/>
      </w:tabs>
      <w:spacing w:after="0" w:line="240" w:lineRule="auto"/>
    </w:pPr>
  </w:style>
  <w:style w:type="character" w:customStyle="1" w:styleId="SidfotChar">
    <w:name w:val="Sidfot Char"/>
    <w:basedOn w:val="DefaultParagraphFont"/>
    <w:link w:val="Footer"/>
    <w:uiPriority w:val="99"/>
    <w:rsid w:val="005F1164"/>
  </w:style>
  <w:style w:type="paragraph" w:styleId="BalloonText">
    <w:name w:val="Balloon Text"/>
    <w:basedOn w:val="Normal"/>
    <w:link w:val="BallongtextChar"/>
    <w:uiPriority w:val="99"/>
    <w:semiHidden/>
    <w:unhideWhenUsed/>
    <w:rsid w:val="005F1164"/>
    <w:pPr>
      <w:spacing w:after="0" w:line="240" w:lineRule="auto"/>
    </w:pPr>
    <w:rPr>
      <w:rFonts w:ascii="Tahoma" w:hAnsi="Tahoma" w:cs="Tahoma"/>
      <w:sz w:val="16"/>
      <w:szCs w:val="16"/>
    </w:rPr>
  </w:style>
  <w:style w:type="character" w:customStyle="1" w:styleId="BallongtextChar">
    <w:name w:val="Ballongtext Char"/>
    <w:basedOn w:val="DefaultParagraphFont"/>
    <w:link w:val="BalloonText"/>
    <w:uiPriority w:val="99"/>
    <w:semiHidden/>
    <w:rsid w:val="005F1164"/>
    <w:rPr>
      <w:rFonts w:ascii="Tahoma" w:hAnsi="Tahoma" w:cs="Tahoma"/>
      <w:sz w:val="16"/>
      <w:szCs w:val="16"/>
    </w:rPr>
  </w:style>
  <w:style w:type="character" w:styleId="PlaceholderText">
    <w:name w:val="Placeholder Text"/>
    <w:basedOn w:val="DefaultParagraphFont"/>
    <w:uiPriority w:val="99"/>
    <w:semiHidden/>
    <w:rsid w:val="00810DBB"/>
    <w:rPr>
      <w:color w:val="808080"/>
    </w:rPr>
  </w:style>
  <w:style w:type="paragraph" w:styleId="ListParagraph">
    <w:name w:val="List Paragraph"/>
    <w:basedOn w:val="Normal"/>
    <w:uiPriority w:val="34"/>
    <w:qFormat/>
    <w:rsid w:val="004078AF"/>
    <w:pPr>
      <w:ind w:left="720"/>
      <w:contextualSpacing/>
    </w:pPr>
  </w:style>
  <w:style w:type="paragraph" w:styleId="NormalIndent">
    <w:name w:val="Normal Indent"/>
    <w:basedOn w:val="Normal"/>
    <w:uiPriority w:val="4"/>
    <w:qFormat/>
    <w:rsid w:val="004078AF"/>
    <w:pPr>
      <w:spacing w:before="160" w:after="0" w:line="300" w:lineRule="atLeast"/>
      <w:ind w:left="851"/>
    </w:pPr>
    <w:rPr>
      <w:rFonts w:ascii="Garamond" w:eastAsia="Times New Roman" w:hAnsi="Garamond" w:cs="Times New Roman"/>
      <w:sz w:val="24"/>
    </w:rPr>
  </w:style>
  <w:style w:type="paragraph" w:customStyle="1" w:styleId="Nr-Rubrik1">
    <w:name w:val="Nr-Rubrik1"/>
    <w:basedOn w:val="Heading1"/>
    <w:next w:val="NormalIndent"/>
    <w:link w:val="Nr-Rubrik1Char"/>
    <w:uiPriority w:val="1"/>
    <w:qFormat/>
    <w:rsid w:val="001D6F87"/>
    <w:pPr>
      <w:keepLines w:val="0"/>
      <w:spacing w:before="0" w:after="120" w:line="280" w:lineRule="atLeast"/>
    </w:pPr>
    <w:rPr>
      <w:bCs w:val="0"/>
      <w:color w:val="auto"/>
      <w:sz w:val="21"/>
      <w:szCs w:val="32"/>
    </w:rPr>
  </w:style>
  <w:style w:type="paragraph" w:customStyle="1" w:styleId="Nr-Rubrik2">
    <w:name w:val="Nr-Rubrik2"/>
    <w:basedOn w:val="Heading2"/>
    <w:next w:val="NormalIndent"/>
    <w:uiPriority w:val="1"/>
    <w:qFormat/>
    <w:rsid w:val="001D6F87"/>
    <w:pPr>
      <w:keepLines w:val="0"/>
      <w:spacing w:before="0" w:after="120" w:line="280" w:lineRule="atLeast"/>
    </w:pPr>
    <w:rPr>
      <w:bCs w:val="0"/>
      <w:color w:val="auto"/>
      <w:sz w:val="20"/>
    </w:rPr>
  </w:style>
  <w:style w:type="character" w:customStyle="1" w:styleId="Nr-Rubrik1Char">
    <w:name w:val="Nr-Rubrik1 Char"/>
    <w:basedOn w:val="DefaultParagraphFont"/>
    <w:link w:val="Nr-Rubrik1"/>
    <w:uiPriority w:val="1"/>
    <w:rsid w:val="001D6F87"/>
    <w:rPr>
      <w:rFonts w:asciiTheme="majorHAnsi" w:eastAsiaTheme="majorEastAsia" w:hAnsiTheme="majorHAnsi" w:cstheme="majorBidi"/>
      <w:b/>
      <w:sz w:val="21"/>
      <w:szCs w:val="32"/>
    </w:rPr>
  </w:style>
  <w:style w:type="paragraph" w:customStyle="1" w:styleId="Nr-Rubrik3">
    <w:name w:val="Nr-Rubrik3"/>
    <w:basedOn w:val="Heading3"/>
    <w:next w:val="NormalIndent"/>
    <w:uiPriority w:val="1"/>
    <w:qFormat/>
    <w:rsid w:val="001D6F87"/>
    <w:pPr>
      <w:keepLines w:val="0"/>
      <w:spacing w:before="0" w:after="120" w:line="280" w:lineRule="atLeast"/>
    </w:pPr>
    <w:rPr>
      <w:bCs w:val="0"/>
      <w:color w:val="auto"/>
      <w:sz w:val="19"/>
      <w:szCs w:val="24"/>
    </w:rPr>
  </w:style>
  <w:style w:type="paragraph" w:customStyle="1" w:styleId="Nr-Rubrik4">
    <w:name w:val="Nr-Rubrik4"/>
    <w:basedOn w:val="Normal"/>
    <w:uiPriority w:val="1"/>
    <w:semiHidden/>
    <w:qFormat/>
    <w:rsid w:val="001D6F87"/>
    <w:pPr>
      <w:spacing w:after="120" w:line="280" w:lineRule="atLeast"/>
    </w:pPr>
    <w:rPr>
      <w:rFonts w:asciiTheme="majorHAnsi" w:hAnsiTheme="majorHAnsi"/>
      <w:b/>
      <w:sz w:val="19"/>
      <w:szCs w:val="21"/>
    </w:rPr>
  </w:style>
  <w:style w:type="paragraph" w:customStyle="1" w:styleId="a-lista">
    <w:name w:val="a-lista"/>
    <w:basedOn w:val="Normal"/>
    <w:uiPriority w:val="3"/>
    <w:qFormat/>
    <w:rsid w:val="001D6F87"/>
    <w:pPr>
      <w:spacing w:after="120" w:line="280" w:lineRule="atLeast"/>
    </w:pPr>
    <w:rPr>
      <w:sz w:val="21"/>
      <w:szCs w:val="21"/>
    </w:rPr>
  </w:style>
  <w:style w:type="paragraph" w:customStyle="1" w:styleId="i-lista">
    <w:name w:val="i-lista"/>
    <w:basedOn w:val="Normal"/>
    <w:uiPriority w:val="3"/>
    <w:qFormat/>
    <w:rsid w:val="001D6F87"/>
    <w:pPr>
      <w:spacing w:after="120" w:line="280" w:lineRule="atLeast"/>
    </w:pPr>
    <w:rPr>
      <w:sz w:val="21"/>
      <w:szCs w:val="21"/>
    </w:rPr>
  </w:style>
  <w:style w:type="character" w:customStyle="1" w:styleId="Rubrik1Char">
    <w:name w:val="Rubrik 1 Char"/>
    <w:basedOn w:val="DefaultParagraphFont"/>
    <w:link w:val="Heading1"/>
    <w:uiPriority w:val="9"/>
    <w:rsid w:val="001D6F87"/>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DefaultParagraphFont"/>
    <w:link w:val="Heading2"/>
    <w:uiPriority w:val="9"/>
    <w:semiHidden/>
    <w:rsid w:val="001D6F87"/>
    <w:rPr>
      <w:rFonts w:asciiTheme="majorHAnsi" w:eastAsiaTheme="majorEastAsia" w:hAnsiTheme="majorHAnsi" w:cstheme="majorBidi"/>
      <w:b/>
      <w:bCs/>
      <w:color w:val="4F81BD" w:themeColor="accent1"/>
      <w:sz w:val="26"/>
      <w:szCs w:val="26"/>
    </w:rPr>
  </w:style>
  <w:style w:type="character" w:customStyle="1" w:styleId="Rubrik3Char">
    <w:name w:val="Rubrik 3 Char"/>
    <w:basedOn w:val="DefaultParagraphFont"/>
    <w:link w:val="Heading3"/>
    <w:uiPriority w:val="9"/>
    <w:semiHidden/>
    <w:rsid w:val="001D6F87"/>
    <w:rPr>
      <w:rFonts w:asciiTheme="majorHAnsi" w:eastAsiaTheme="majorEastAsia" w:hAnsiTheme="majorHAnsi" w:cstheme="majorBidi"/>
      <w:b/>
      <w:bCs/>
      <w:color w:val="4F81BD" w:themeColor="accent1"/>
    </w:rPr>
  </w:style>
  <w:style w:type="numbering" w:customStyle="1" w:styleId="Setterwallsnumrering">
    <w:name w:val="Setterwalls numrering"/>
    <w:uiPriority w:val="99"/>
    <w:rsid w:val="00FF04C9"/>
    <w:pPr>
      <w:numPr>
        <w:numId w:val="1"/>
      </w:numPr>
    </w:pPr>
  </w:style>
  <w:style w:type="paragraph" w:styleId="ListNumber">
    <w:name w:val="List Number"/>
    <w:basedOn w:val="Normal"/>
    <w:uiPriority w:val="3"/>
    <w:unhideWhenUsed/>
    <w:qFormat/>
    <w:rsid w:val="00FD5C67"/>
    <w:pPr>
      <w:numPr>
        <w:numId w:val="2"/>
      </w:numPr>
      <w:contextualSpacing/>
    </w:pPr>
  </w:style>
  <w:style w:type="character" w:styleId="CommentReference">
    <w:name w:val="annotation reference"/>
    <w:basedOn w:val="DefaultParagraphFont"/>
    <w:uiPriority w:val="99"/>
    <w:semiHidden/>
    <w:unhideWhenUsed/>
    <w:rsid w:val="00665945"/>
    <w:rPr>
      <w:sz w:val="16"/>
      <w:szCs w:val="16"/>
    </w:rPr>
  </w:style>
  <w:style w:type="paragraph" w:styleId="CommentText">
    <w:name w:val="annotation text"/>
    <w:basedOn w:val="Normal"/>
    <w:link w:val="KommentarerChar"/>
    <w:uiPriority w:val="99"/>
    <w:unhideWhenUsed/>
    <w:rsid w:val="00665945"/>
    <w:pPr>
      <w:spacing w:line="240" w:lineRule="auto"/>
    </w:pPr>
    <w:rPr>
      <w:sz w:val="20"/>
      <w:szCs w:val="20"/>
    </w:rPr>
  </w:style>
  <w:style w:type="character" w:customStyle="1" w:styleId="KommentarerChar">
    <w:name w:val="Kommentarer Char"/>
    <w:basedOn w:val="DefaultParagraphFont"/>
    <w:link w:val="CommentText"/>
    <w:uiPriority w:val="99"/>
    <w:rsid w:val="00665945"/>
    <w:rPr>
      <w:sz w:val="20"/>
      <w:szCs w:val="20"/>
    </w:rPr>
  </w:style>
  <w:style w:type="paragraph" w:styleId="CommentSubject">
    <w:name w:val="annotation subject"/>
    <w:basedOn w:val="CommentText"/>
    <w:next w:val="CommentText"/>
    <w:link w:val="KommentarsmneChar"/>
    <w:uiPriority w:val="99"/>
    <w:semiHidden/>
    <w:unhideWhenUsed/>
    <w:rsid w:val="00665945"/>
    <w:rPr>
      <w:b/>
      <w:bCs/>
    </w:rPr>
  </w:style>
  <w:style w:type="character" w:customStyle="1" w:styleId="KommentarsmneChar">
    <w:name w:val="Kommentarsämne Char"/>
    <w:basedOn w:val="KommentarerChar"/>
    <w:link w:val="CommentSubject"/>
    <w:uiPriority w:val="99"/>
    <w:semiHidden/>
    <w:rsid w:val="00665945"/>
    <w:rPr>
      <w:b/>
      <w:bCs/>
      <w:sz w:val="20"/>
      <w:szCs w:val="20"/>
    </w:rPr>
  </w:style>
  <w:style w:type="paragraph" w:styleId="FootnoteText">
    <w:name w:val="footnote text"/>
    <w:basedOn w:val="Normal"/>
    <w:link w:val="FotnotstextChar"/>
    <w:uiPriority w:val="99"/>
    <w:semiHidden/>
    <w:unhideWhenUsed/>
    <w:rsid w:val="00985B49"/>
    <w:pPr>
      <w:spacing w:after="0" w:line="240" w:lineRule="auto"/>
    </w:pPr>
    <w:rPr>
      <w:sz w:val="16"/>
      <w:szCs w:val="20"/>
    </w:rPr>
  </w:style>
  <w:style w:type="character" w:customStyle="1" w:styleId="FotnotstextChar">
    <w:name w:val="Fotnotstext Char"/>
    <w:basedOn w:val="DefaultParagraphFont"/>
    <w:link w:val="FootnoteText"/>
    <w:uiPriority w:val="99"/>
    <w:semiHidden/>
    <w:rsid w:val="00985B49"/>
    <w:rPr>
      <w:sz w:val="16"/>
      <w:szCs w:val="20"/>
    </w:rPr>
  </w:style>
  <w:style w:type="character" w:styleId="FootnoteReference">
    <w:name w:val="footnote reference"/>
    <w:basedOn w:val="DefaultParagraphFont"/>
    <w:uiPriority w:val="99"/>
    <w:semiHidden/>
    <w:unhideWhenUsed/>
    <w:rsid w:val="00985B49"/>
    <w:rPr>
      <w:vertAlign w:val="superscript"/>
    </w:rPr>
  </w:style>
  <w:style w:type="character" w:styleId="UnresolvedMention">
    <w:name w:val="Unresolved Mention"/>
    <w:basedOn w:val="DefaultParagraphFont"/>
    <w:uiPriority w:val="99"/>
    <w:semiHidden/>
    <w:unhideWhenUsed/>
    <w:rsid w:val="00BF3EFE"/>
    <w:rPr>
      <w:color w:val="605E5C"/>
      <w:shd w:val="clear" w:color="auto" w:fill="E1DFDD"/>
    </w:rPr>
  </w:style>
  <w:style w:type="numbering" w:customStyle="1" w:styleId="SetterwallsNumreradlista">
    <w:name w:val="Setterwalls Numreradlista"/>
    <w:uiPriority w:val="99"/>
    <w:rsid w:val="001973E6"/>
    <w:pPr>
      <w:numPr>
        <w:numId w:val="3"/>
      </w:numPr>
    </w:pPr>
  </w:style>
  <w:style w:type="paragraph" w:styleId="NormalWeb">
    <w:name w:val="Normal (Web)"/>
    <w:basedOn w:val="Normal"/>
    <w:uiPriority w:val="99"/>
    <w:semiHidden/>
    <w:unhideWhenUsed/>
    <w:rsid w:val="0058105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euroclear.com/dam/ESw/Legal/Integritetspolicy-bolagsstammor-svenska.pdf"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